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NoSpacing"/>
      </w:pPr>
      <w:r>
        <w:t xml:space="preserve">Temuan SSAS-004-Premi Panen</w:t>
      </w:r>
    </w:p>
    <w:p>
      <w:pPr>
        <w:pStyle w:val="NoSpacing"/>
      </w:pPr>
      <w:r>
        <w:t xml:space="preserve">Storage, Beban Kerja Runtime</w:t>
      </w:r>
    </w:p>
    <w:p>
      <w:r>
        <w:t xml:space="preserve"/>
      </w:r>
    </w:p>
    <w:tbl>
      <w:tblPr>
        <w:tblW w:w="0" w:type="auto"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blGrid>
        <w:gridCol w:w="2600"/>
        <w:gridCol w:w="6500"/>
      </w:tblGrid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No.</w:t>
            </w:r>
          </w:p>
        </w:tc>
        <w:tc>
          <w:tcPr>
            <w:tcW w:w="6500" w:type="dxa"/>
          </w:tcPr>
          <w:p>
            <w:r>
              <w:t xml:space="preserve">004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Database</w:t>
            </w:r>
          </w:p>
        </w:tc>
        <w:tc>
          <w:tcPr>
            <w:tcW w:w="6500" w:type="dxa"/>
          </w:tcPr>
          <w:p>
            <w:r>
              <w:t xml:space="preserve">Premi Panen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Tipe Model</w:t>
            </w:r>
          </w:p>
        </w:tc>
        <w:tc>
          <w:tcPr>
            <w:tcW w:w="6500" w:type="dxa"/>
          </w:tcPr>
          <w:p>
            <w:r>
              <w:t xml:space="preserve">TABULAR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Compatibility Level</w:t>
            </w:r>
          </w:p>
        </w:tc>
        <w:tc>
          <w:tcPr>
            <w:tcW w:w="6500" w:type="dxa"/>
          </w:tcPr>
          <w:p>
            <w:r>
              <w:t xml:space="preserve">1200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ID Temuan</w:t>
            </w:r>
          </w:p>
        </w:tc>
        <w:tc>
          <w:tcPr>
            <w:tcW w:w="6500" w:type="dxa"/>
          </w:tcPr>
          <w:p>
            <w:r>
              <w:t xml:space="preserve">F-044, F-054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Risiko Statis</w:t>
            </w:r>
          </w:p>
        </w:tc>
        <w:tc>
          <w:tcPr>
            <w:tcW w:w="6500" w:type="dxa"/>
          </w:tcPr>
          <w:p>
            <w:r>
              <w:t xml:space="preserve">47/100 - SEDANG / P2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Profil Model</w:t>
            </w:r>
          </w:p>
        </w:tc>
        <w:tc>
          <w:tcPr>
            <w:tcW w:w="6500" w:type="dxa"/>
          </w:tcPr>
          <w:p>
            <w:r>
              <w:t xml:space="preserve">8 tabel; 113 kolom; 0 measure; 7 relationship; 8 partisi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Runtime yang Terekam</w:t>
            </w:r>
          </w:p>
        </w:tc>
        <w:tc>
          <w:tcPr>
            <w:tcW w:w="6500" w:type="dxa"/>
          </w:tcPr>
          <w:p>
            <w:r>
              <w:t xml:space="preserve">163 eksekusi; total durasi 3723 ms; P50/P95/P99 13/79/163 ms; maksimum 167 ms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Status Tindakan</w:t>
            </w:r>
          </w:p>
        </w:tc>
        <w:tc>
          <w:tcPr>
            <w:tcW w:w="6500" w:type="dxa"/>
          </w:tcPr>
          <w:p>
            <w:r>
              <w:t xml:space="preserve">INVESTIGASI / VALIDASI SEBELUM PERUBAHAN</w:t>
            </w:r>
          </w:p>
        </w:tc>
      </w:tr>
    </w:tbl>
    <w:p>
      <w:pPr>
        <w:pStyle w:val="Heading1"/>
      </w:pPr>
      <w:r>
        <w:t xml:space="preserve">Temuan</w:t>
      </w:r>
    </w:p>
    <w:p>
      <w:pPr>
        <w:pStyle w:val="ListParagraph"/>
      </w:pPr>
      <w:r>
        <w:rPr>
          <w:b/>
        </w:rPr>
        <w:t xml:space="preserve">F-044 - Storage: </w:t>
      </w:r>
      <w:r>
        <w:t xml:space="preserve">[OBSERVED (teramati langsung); confidence TINGGI] Skor storage relatif terhadap fleet 77; USED_SIZE 23.009 MB, dictionary 58.506 MB, jumlah baris maksimum yang tercatat pada storage table 684,490.</w:t>
      </w:r>
    </w:p>
    <w:p>
      <w:pPr>
        <w:pStyle w:val="ListParagraph"/>
      </w:pPr>
      <w:r>
        <w:rPr>
          <w:b/>
        </w:rPr>
        <w:t xml:space="preserve">Potensi dampak: </w:t>
      </w:r>
      <w:r>
        <w:t xml:space="preserve">Data ter-encode yang tidak proporsional meningkatkan penggunaan kapasitas dan potensi volume scan; biaya query aktual belum terbukti.</w:t>
      </w:r>
    </w:p>
    <w:p>
      <w:pPr>
        <w:pStyle w:val="ListParagraph"/>
      </w:pPr>
      <w:r>
        <w:rPr>
          <w:b/>
        </w:rPr>
        <w:t xml:space="preserve">Evidence: </w:t>
      </w:r>
      <w:r>
        <w:t xml:space="preserve">storage/storage_column_segments.csv; storage/storage_table_columns.csv; storage/storage_tables.csv</w:t>
      </w:r>
    </w:p>
    <w:p>
      <w:pPr>
        <w:pStyle w:val="ListParagraph"/>
      </w:pPr>
      <w:r>
        <w:t xml:space="preserve"/>
      </w:r>
    </w:p>
    <w:p>
      <w:pPr>
        <w:pStyle w:val="ListParagraph"/>
      </w:pPr>
      <w:r>
        <w:rPr>
          <w:b/>
        </w:rPr>
        <w:t xml:space="preserve">F-054 - Beban Kerja Runtime: </w:t>
      </w:r>
      <w:r>
        <w:t xml:space="preserve">[OBSERVED (teramati langsung); confidence TINGGI] Subset BUSINESS_CANDIDATE yang terekam: 163 eksekusi, total durasi 3723 ms, P50/P95/P99 13/79/163 ms, maksimum 167 ms.</w:t>
      </w:r>
    </w:p>
    <w:p>
      <w:pPr>
        <w:pStyle w:val="ListParagraph"/>
      </w:pPr>
      <w:r>
        <w:rPr>
          <w:b/>
        </w:rPr>
        <w:t xml:space="preserve">Potensi dampak: </w:t>
      </w:r>
      <w:r>
        <w:t xml:space="preserve">Durasi untuk query hash yang terekam telah tersedia; latency tipikal pengguna dan root cause TIDAK DAPAT DIBUKTIKAN DARI EVIDENCE SAAT INI (NOT PROVABLE FROM CURRENT EVIDENCE).</w:t>
      </w:r>
    </w:p>
    <w:p>
      <w:pPr>
        <w:pStyle w:val="ListParagraph"/>
      </w:pPr>
      <w:r>
        <w:rPr>
          <w:b/>
        </w:rPr>
        <w:t xml:space="preserve">Evidence: </w:t>
      </w:r>
      <w:r>
        <w:t xml:space="preserve">parsed XEvent Tabular/queries.csv; REPORTS/07_RUNTIME_DATABASE_BASELINE.csv; REPORTS/08_RUNTIME_QUERY_HASH_BASELINE.csv</w:t>
      </w:r>
    </w:p>
    <w:p>
      <w:pPr>
        <w:pStyle w:val="ListParagraph"/>
      </w:pPr>
      <w:r>
        <w:t xml:space="preserve"/>
      </w:r>
    </w:p>
    <w:p>
      <w:pPr>
        <w:pStyle w:val="ListParagraph"/>
      </w:pPr>
      <w:r>
        <w:rPr>
          <w:b/>
        </w:rPr>
        <w:t xml:space="preserve">Batas interpretasi: </w:t>
      </w:r>
      <w:r>
        <w:t xml:space="preserve">Korelasi structural/static bukan bukti root cause pada query atau refresh. Nilai runtime hanya menggambarkan subset BUSINESS_CANDIDATE yang terekam. Workload tipikal, CPU pressure, dan memory pressure TIDAK DAPAT DIBUKTIKAN DARI EVIDENCE SAAT INI (NOT PROVABLE FROM CURRENT EVIDENCE).</w:t>
      </w:r>
    </w:p>
    <w:p>
      <w:pPr>
        <w:pStyle w:val="Heading1"/>
      </w:pPr>
      <w:r>
        <w:t xml:space="preserve">Rencana Tindakan dan Solusi</w:t>
      </w:r>
    </w:p>
    <w:p>
      <w:pPr>
        <w:pStyle w:val="ListParagraph"/>
      </w:pPr>
      <w:r>
        <w:rPr>
          <w:b/>
        </w:rPr>
        <w:t xml:space="preserve">Storage - </w:t>
      </w:r>
      <w:r>
        <w:t xml:space="preserve">Tinjau tabel/kolom dengan konsumsi storage terbesar. Hapus atau ubah strukturnya hanya setelah dependency dan penggunaan divalidasi.</w:t>
      </w:r>
    </w:p>
    <w:p>
      <w:pPr>
        <w:pStyle w:val="ListParagraph"/>
      </w:pPr>
      <w:r>
        <w:rPr>
          <w:b/>
        </w:rPr>
        <w:t xml:space="preserve">Manfaat yang diharapkan: </w:t>
      </w:r>
      <w:r>
        <w:t xml:space="preserve">Model footprint lebih kecil dan potensi scan/refresh yang lebih cepat.</w:t>
      </w:r>
    </w:p>
    <w:p>
      <w:pPr>
        <w:pStyle w:val="ListParagraph"/>
      </w:pPr>
      <w:r>
        <w:rPr>
          <w:b/>
        </w:rPr>
        <w:t xml:space="preserve">Effort / risiko: </w:t>
      </w:r>
      <w:r>
        <w:t xml:space="preserve">SEDANG / SEDANG - risiko regresi semantic/dependency jika perubahan dilakukan tanpa validasi</w:t>
      </w:r>
    </w:p>
    <w:p>
      <w:pPr>
        <w:pStyle w:val="ListParagraph"/>
      </w:pPr>
      <w:r>
        <w:rPr>
          <w:b/>
        </w:rPr>
        <w:t xml:space="preserve">Metode validasi: </w:t>
      </w:r>
      <w:r>
        <w:t xml:space="preserve">Benchmark query atau refresh before/after yang representatif, disertai semantic regression test</w:t>
      </w:r>
    </w:p>
    <w:p>
      <w:pPr>
        <w:pStyle w:val="ListParagraph"/>
      </w:pPr>
      <w:r>
        <w:t xml:space="preserve"/>
      </w:r>
    </w:p>
    <w:p>
      <w:pPr>
        <w:pStyle w:val="ListParagraph"/>
      </w:pPr>
      <w:r>
        <w:rPr>
          <w:b/>
        </w:rPr>
        <w:t xml:space="preserve">Beban Kerja Runtime - </w:t>
      </w:r>
      <w:r>
        <w:t xml:space="preserve">Reproduksi query hash dengan total durasi tertinggi bersama business owner; ambil minimal tiga warm run yang comparable dan Server Timings sebelum mengubah desain DAX/model.</w:t>
      </w:r>
    </w:p>
    <w:p>
      <w:pPr>
        <w:pStyle w:val="ListParagraph"/>
      </w:pPr>
      <w:r>
        <w:rPr>
          <w:b/>
        </w:rPr>
        <w:t xml:space="preserve">Manfaat yang diharapkan: </w:t>
      </w:r>
      <w:r>
        <w:t xml:space="preserve">Fokuskan tuning pada query kandidat yang telah terukur dan hindari penulisan ulang yang bersifat spekulatif.</w:t>
      </w:r>
    </w:p>
    <w:p>
      <w:pPr>
        <w:pStyle w:val="ListParagraph"/>
      </w:pPr>
      <w:r>
        <w:rPr>
          <w:b/>
        </w:rPr>
        <w:t xml:space="preserve">Effort / risiko: </w:t>
      </w:r>
      <w:r>
        <w:t xml:space="preserve">RENDAH / RENDAH untuk profiling; SEDANG untuk perubahan model/DAX berikutnya</w:t>
      </w:r>
    </w:p>
    <w:p>
      <w:pPr>
        <w:pStyle w:val="ListParagraph"/>
      </w:pPr>
      <w:r>
        <w:rPr>
          <w:b/>
        </w:rPr>
        <w:t xml:space="preserve">Metode validasi: </w:t>
      </w:r>
      <w:r>
        <w:t xml:space="preserve">Petakan hash ke report/owner, lakukan satu warm-up dan minimal tiga warm run; bandingkan total durasi, CPU, SE query count, serta hasil semantic before/after.</w:t>
      </w:r>
    </w:p>
    <w:p>
      <w:pPr>
        <w:pStyle w:val="ListParagraph"/>
      </w:pPr>
      <w:r>
        <w:t xml:space="preserve"/>
      </w:r>
    </w:p>
    <w:p>
      <w:pPr>
        <w:pStyle w:val="Heading1"/>
      </w:pPr>
      <w:r>
        <w:t xml:space="preserve">Tahap Implementasi dan Validasi</w:t>
      </w:r>
    </w:p>
    <w:p>
      <w:pPr>
        <w:pStyle w:val="ListParagraph"/>
      </w:pPr>
      <w:r>
        <w:t xml:space="preserve">1. Petakan query hash dan object model ke Power BI, Excel, atau report bisnis pemiliknya.</w:t>
      </w:r>
    </w:p>
    <w:p>
      <w:pPr>
        <w:pStyle w:val="ListParagraph"/>
      </w:pPr>
      <w:r>
        <w:t xml:space="preserve">2. Jalankan 3-5 query bisnis yang representatif: satu warm-up, kemudian minimal tiga warm run yang comparable.</w:t>
      </w:r>
    </w:p>
    <w:p>
      <w:pPr>
        <w:pStyle w:val="ListParagraph"/>
      </w:pPr>
      <w:r>
        <w:t xml:space="preserve">3. Ambil 2-3 normal run refresh/processing untuk setiap kandidat, termasuk waktu mulai/selesai, partisi, process type, jumlah baris, status, dan error.</w:t>
      </w:r>
    </w:p>
    <w:p>
      <w:pPr>
        <w:pStyle w:val="ListParagraph"/>
      </w:pPr>
      <w:r>
        <w:t xml:space="preserve">4. Terapkan hanya perubahan yang telah disetujui dan dapat di-rollback pada test environment; jangan melakukan clear cache atau processing hanya untuk assessment tanpa window yang disetujui.</w:t>
      </w:r>
    </w:p>
    <w:p>
      <w:pPr>
        <w:pStyle w:val="ListParagraph"/>
      </w:pPr>
      <w:r>
        <w:t xml:space="preserve">5. Validasi kesetaraan hasil semantic, row reconciliation, metrik query, metrik processing, downstream output, dan kesiapan rollback.</w:t>
      </w:r>
    </w:p>
    <w:p>
      <w:pPr>
        <w:pStyle w:val="ListParagraph"/>
      </w:pPr>
      <w:r>
        <w:t xml:space="preserve">Target persentase atau durasi tidak ditetapkan sebelum tersedia baseline yang comparable dan business acceptance threshold yang disepakati.</w:t>
      </w:r>
    </w:p>
    <w:p>
      <w:pPr>
        <w:pStyle w:val="Heading1"/>
      </w:pPr>
      <w:r>
        <w:t xml:space="preserve">Validasi Before / After</w:t>
      </w:r>
    </w:p>
    <w:tbl>
      <w:tblPr>
        <w:tblW w:w="0" w:type="auto"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blGrid>
        <w:gridCol w:w="1800"/>
        <w:gridCol w:w="2100"/>
        <w:gridCol w:w="2100"/>
        <w:gridCol w:w="3100"/>
      </w:tblGrid>
      <w:tr>
        <w:tc>
          <w:tcPr>
            <w:tcW w:w="2200" w:type="dxa"/>
            <w:shd w:fill="D9EAF7"/>
          </w:tcPr>
          <w:p>
            <w:r>
              <w:rPr>
                <w:b/>
              </w:rPr>
              <w:t xml:space="preserve">Metrik</w:t>
            </w:r>
          </w:p>
        </w:tc>
        <w:tc>
          <w:tcPr>
            <w:tcW w:w="2200" w:type="dxa"/>
            <w:shd w:fill="D9EAF7"/>
          </w:tcPr>
          <w:p>
            <w:r>
              <w:rPr>
                <w:b/>
              </w:rPr>
              <w:t xml:space="preserve">Sebelum</w:t>
            </w:r>
          </w:p>
        </w:tc>
        <w:tc>
          <w:tcPr>
            <w:tcW w:w="2200" w:type="dxa"/>
            <w:shd w:fill="D9EAF7"/>
          </w:tcPr>
          <w:p>
            <w:r>
              <w:rPr>
                <w:b/>
              </w:rPr>
              <w:t xml:space="preserve">Sesudah</w:t>
            </w:r>
          </w:p>
        </w:tc>
        <w:tc>
          <w:tcPr>
            <w:tcW w:w="2200" w:type="dxa"/>
            <w:shd w:fill="D9EAF7"/>
          </w:tcPr>
          <w:p>
            <w:r>
              <w:rPr>
                <w:b/>
              </w:rPr>
              <w:t xml:space="preserve">Kriteria penerimaan / guardrail</w:t>
            </w:r>
          </w:p>
        </w:tc>
      </w:tr>
      <w:tr>
        <w:tc>
          <w:tcPr>
            <w:tcW w:w="2200" w:type="dxa"/>
          </w:tcPr>
          <w:p>
            <w:r>
              <w:t xml:space="preserve">Total query / P50 / P95 / P99</w:t>
            </w:r>
          </w:p>
        </w:tc>
        <w:tc>
          <w:tcPr>
            <w:tcW w:w="2200" w:type="dxa"/>
          </w:tcPr>
          <w:p>
            <w:r>
              <w:t xml:space="preserve">[isi hasil baseline]</w:t>
            </w:r>
          </w:p>
        </w:tc>
        <w:tc>
          <w:tcPr>
            <w:tcW w:w="2200" w:type="dxa"/>
          </w:tcPr>
          <w:p>
            <w:r>
              <w:t xml:space="preserve">[isi setelah tuning]</w:t>
            </w:r>
          </w:p>
        </w:tc>
        <w:tc>
          <w:tcPr>
            <w:tcW w:w="2200" w:type="dxa"/>
          </w:tcPr>
          <w:p>
            <w:r>
              <w:t xml:space="preserve">Query, filter, cache mode, dan workload window harus comparable</w:t>
            </w:r>
          </w:p>
        </w:tc>
      </w:tr>
      <w:tr>
        <w:tc>
          <w:tcPr>
            <w:tcW w:w="2200" w:type="dxa"/>
          </w:tcPr>
          <w:p>
            <w:r>
              <w:t xml:space="preserve">FE / SE / SE query count</w:t>
            </w:r>
          </w:p>
        </w:tc>
        <w:tc>
          <w:tcPr>
            <w:tcW w:w="2200" w:type="dxa"/>
          </w:tcPr>
          <w:p>
            <w:r>
              <w:t xml:space="preserve">[isi Server Timings]</w:t>
            </w:r>
          </w:p>
        </w:tc>
        <w:tc>
          <w:tcPr>
            <w:tcW w:w="2200" w:type="dxa"/>
          </w:tcPr>
          <w:p>
            <w:r>
              <w:t xml:space="preserve">[isi setelah tuning]</w:t>
            </w:r>
          </w:p>
        </w:tc>
        <w:tc>
          <w:tcPr>
            <w:tcW w:w="2200" w:type="dxa"/>
          </w:tcPr>
          <w:p>
            <w:r>
              <w:t xml:space="preserve">Hotspot terukur membaik dan tidak ada regresi material</w:t>
            </w:r>
          </w:p>
        </w:tc>
      </w:tr>
      <w:tr>
        <w:tc>
          <w:tcPr>
            <w:tcW w:w="2200" w:type="dxa"/>
          </w:tcPr>
          <w:p>
            <w:r>
              <w:t xml:space="preserve">Refresh / processing</w:t>
            </w:r>
          </w:p>
        </w:tc>
        <w:tc>
          <w:tcPr>
            <w:tcW w:w="2200" w:type="dxa"/>
          </w:tcPr>
          <w:p>
            <w:r>
              <w:t xml:space="preserve">[median 2-3 normal run]</w:t>
            </w:r>
          </w:p>
        </w:tc>
        <w:tc>
          <w:tcPr>
            <w:tcW w:w="2200" w:type="dxa"/>
          </w:tcPr>
          <w:p>
            <w:r>
              <w:t xml:space="preserve">[median 2-3 run yang comparable]</w:t>
            </w:r>
          </w:p>
        </w:tc>
        <w:tc>
          <w:tcPr>
            <w:tcW w:w="2200" w:type="dxa"/>
          </w:tcPr>
          <w:p>
            <w:r>
              <w:t xml:space="preserve">Durasi/scope membaik; status dan retry tidak memburuk</w:t>
            </w:r>
          </w:p>
        </w:tc>
      </w:tr>
      <w:tr>
        <w:tc>
          <w:tcPr>
            <w:tcW w:w="2200" w:type="dxa"/>
          </w:tcPr>
          <w:p>
            <w:r>
              <w:t xml:space="preserve">Baris / hasil semantic</w:t>
            </w:r>
          </w:p>
        </w:tc>
        <w:tc>
          <w:tcPr>
            <w:tcW w:w="2200" w:type="dxa"/>
          </w:tcPr>
          <w:p>
            <w:r>
              <w:t xml:space="preserve">[baseline]</w:t>
            </w:r>
          </w:p>
        </w:tc>
        <w:tc>
          <w:tcPr>
            <w:tcW w:w="2200" w:type="dxa"/>
          </w:tcPr>
          <w:p>
            <w:r>
              <w:t xml:space="preserve">[sesudah]</w:t>
            </w:r>
          </w:p>
        </w:tc>
        <w:tc>
          <w:tcPr>
            <w:tcW w:w="2200" w:type="dxa"/>
          </w:tcPr>
          <w:p>
            <w:r>
              <w:t xml:space="preserve">Row reconciliation dan nilai bisnis tetap sama</w:t>
            </w:r>
          </w:p>
        </w:tc>
      </w:tr>
      <w:tr>
        <w:tc>
          <w:tcPr>
            <w:tcW w:w="2200" w:type="dxa"/>
          </w:tcPr>
          <w:p>
            <w:r>
              <w:t xml:space="preserve">Keputusan</w:t>
            </w:r>
          </w:p>
        </w:tc>
        <w:tc>
          <w:tcPr>
            <w:tcW w:w="2200" w:type="dxa"/>
          </w:tcPr>
          <w:p>
            <w:r>
              <w:t xml:space="preserve">-</w:t>
            </w:r>
          </w:p>
        </w:tc>
        <w:tc>
          <w:tcPr>
            <w:tcW w:w="2200" w:type="dxa"/>
          </w:tcPr>
          <w:p>
            <w:r>
              <w:t xml:space="preserve">[PROMOTE / REVISE / ROLLBACK]</w:t>
            </w:r>
          </w:p>
        </w:tc>
        <w:tc>
          <w:tcPr>
            <w:tcW w:w="2200" w:type="dxa"/>
          </w:tcPr>
          <w:p>
            <w:r>
              <w:t xml:space="preserve">Lakukan rollback jika correctness berubah atau target yang disepakati tidak tercapai</w:t>
            </w:r>
          </w:p>
        </w:tc>
      </w:tr>
    </w:tbl>
    <w:sectPr>
      <w:pgSz w:w="11906" w:h="16838"/>
      <w:pgMar w:top="1440" w:right="1440" w:bottom="1440" w:left="1440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UI">
    <w:altName w:val="Segoe U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T3Font_13">
    <w:altName w:val="Yu Gothic"/>
    <w:panose1 w:val="00000000000000000000"/>
    <w:charset w:val="80"/>
    <w:family w:val="swiss"/>
    <w:notTrueType/>
    <w:pitch w:val="default"/>
    <w:sig w:usb0="00000001" w:usb1="08070000" w:usb2="00000010" w:usb3="00000000" w:csb0="0002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25FE9"/>
    <w:multiLevelType w:val="hybridMultilevel"/>
    <w:tmpl w:val="58A06D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1869B7"/>
    <w:multiLevelType w:val="hybridMultilevel"/>
    <w:tmpl w:val="3C422FA8"/>
    <w:lvl w:ilvl="0" w:tplc="0FDCB60A">
      <w:start w:val="1"/>
      <w:numFmt w:val="decimalZero"/>
      <w:lvlText w:val="%1."/>
      <w:lvlJc w:val="left"/>
      <w:pPr>
        <w:ind w:left="780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4F43E7"/>
    <w:multiLevelType w:val="hybridMultilevel"/>
    <w:tmpl w:val="183401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AC2DFE"/>
    <w:multiLevelType w:val="hybridMultilevel"/>
    <w:tmpl w:val="DA5445D4"/>
    <w:lvl w:ilvl="0" w:tplc="189A489C">
      <w:numFmt w:val="bullet"/>
      <w:lvlText w:val="-"/>
      <w:lvlJc w:val="left"/>
      <w:pPr>
        <w:ind w:left="720" w:hanging="360"/>
      </w:pPr>
      <w:rPr>
        <w:rFonts w:ascii="SegoeUI" w:eastAsia="T3Font_13" w:hAnsi="SegoeUI" w:cs="Segoe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41798D"/>
    <w:multiLevelType w:val="hybridMultilevel"/>
    <w:tmpl w:val="280002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52243D"/>
    <w:multiLevelType w:val="hybridMultilevel"/>
    <w:tmpl w:val="94C02F5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4444517">
    <w:abstractNumId w:val="1"/>
  </w:num>
  <w:num w:numId="2" w16cid:durableId="1857693876">
    <w:abstractNumId w:val="4"/>
  </w:num>
  <w:num w:numId="3" w16cid:durableId="2095741260">
    <w:abstractNumId w:val="2"/>
  </w:num>
  <w:num w:numId="4" w16cid:durableId="805926114">
    <w:abstractNumId w:val="0"/>
  </w:num>
  <w:num w:numId="5" w16cid:durableId="1945989275">
    <w:abstractNumId w:val="5"/>
  </w:num>
  <w:num w:numId="6" w16cid:durableId="18591512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D8D"/>
    <w:rsid w:val="000F0CD0"/>
    <w:rsid w:val="00100162"/>
    <w:rsid w:val="001312EE"/>
    <w:rsid w:val="00200C8C"/>
    <w:rsid w:val="002917CF"/>
    <w:rsid w:val="002E26E2"/>
    <w:rsid w:val="00331A91"/>
    <w:rsid w:val="004D128C"/>
    <w:rsid w:val="00690A23"/>
    <w:rsid w:val="0087268C"/>
    <w:rsid w:val="00B25CAE"/>
    <w:rsid w:val="00BD7BA8"/>
    <w:rsid w:val="00C404BB"/>
    <w:rsid w:val="00D468D2"/>
    <w:rsid w:val="00E11D7C"/>
    <w:rsid w:val="00F23D8D"/>
    <w:rsid w:val="00FA50DA"/>
    <w:rsid w:val="00FF0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96352D"/>
  <w15:chartTrackingRefBased/>
  <w15:docId w15:val="{2AFB28A7-8629-448B-847B-0EF1BAA1A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016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4472C4" w:themeColor="accent1"/>
      <w:sz w:val="24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31A91"/>
    <w:pPr>
      <w:ind w:left="720"/>
      <w:contextualSpacing/>
    </w:pPr>
  </w:style>
  <w:style w:type="table" w:styleId="TableGrid">
    <w:name w:val="Table Grid"/>
    <w:basedOn w:val="TableNormal"/>
    <w:uiPriority w:val="39"/>
    <w:rsid w:val="00331A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00162"/>
    <w:rPr>
      <w:rFonts w:asciiTheme="majorHAnsi" w:eastAsiaTheme="majorEastAsia" w:hAnsiTheme="majorHAnsi" w:cstheme="majorBidi"/>
      <w:b/>
      <w:color w:val="4472C4" w:themeColor="accent1"/>
      <w:sz w:val="24"/>
      <w:szCs w:val="32"/>
    </w:rPr>
  </w:style>
  <w:style w:type="paragraph" w:styleId="NoSpacing">
    <w:name w:val="No Spacing"/>
    <w:uiPriority w:val="1"/>
    <w:qFormat/>
    <w:rsid w:val="00C404B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2</Pages>
  <Words>378</Words>
  <Characters>2159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SSAS Finding-004-Premi Panen</dc:title>
  <dc:subject>Assessment performa SSAS berbasis evidence</dc:subject>
  <dc:creator>SSAS Assessment</dc:creator>
  <cp:lastModifiedBy>SSAS Assessment</cp:lastModifiedBy>
  <cp:revision>1</cp:revision>
  <dcterms:created xsi:type="dcterms:W3CDTF">2026-09-14T17:34:50Z</dcterms:created>
  <dcterms:modified xsi:type="dcterms:W3CDTF">2026-09-14T17:34:50Z</dcterms:modified>
</cp:coreProperties>
</file>