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SSAS-007-premi dan lembur monitoring</w:t>
      </w:r>
    </w:p>
    <w:p>
      <w:pPr>
        <w:pStyle w:val="NoSpacing"/>
      </w:pPr>
      <w:r>
        <w:t xml:space="preserve">Storage, Partisi, Kompleksitas Model, Beban Kerja Runtime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007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premi dan lembur monitoring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F-012, F-013, F-014, F-056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72/100 - TINGGI / P1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13 tabel; 177 kolom; 35 measure; 20 relationship; 13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14 eksekusi; total durasi 1946 ms; P50/P95/P99 6/1835/1835 ms; maksimum 1835 ms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F-012 - Storage: </w:t>
      </w:r>
      <w:r>
        <w:t xml:space="preserve">[OBSERVED (teramati langsung); confidence TINGGI] Skor storage relatif terhadap fleet 97; USED_SIZE 174.922 MB, dictionary 269.579 MB, jumlah baris maksimum yang tercatat pada storage table 14,976,234.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Data ter-encode yang tidak proporsional meningkatkan penggunaan kapasitas dan potensi volume scan; biaya query aktual belum terbukti.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storage/storage_column_segments.csv; storage/storage_table_columns.csv; storage/storage_tables.csv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F-013 - Partisi: </w:t>
      </w:r>
      <w:r>
        <w:t xml:space="preserve">[INFERRED (disimpulkan dari evidence); confidence SEDANG] Struktur storage terbesar memiliki 14,976,234 baris, sedangkan metadata menunjukkan 13 partisi untuk 13 tabel.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Full-table refresh berpotensi memiliki durasi processing dan transaction footprint yang sebenarnya dapat dikurangi.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metadata/partitions.csv; storage/storage_tables.csv;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F-014 - Kompleksitas Model: </w:t>
      </w:r>
      <w:r>
        <w:t xml:space="preserve">[OBSERVED (teramati langsung); confidence TINGGI] 13 tabel, 177 kolom, 35 measure; skor kompleksitas relatif terhadap fleet 84.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Model yang luas menambah cakupan metadata, refresh, usability, dan area yang perlu dioptimalkan.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metadata/tables.csv; metadata/columns.csv; metadata/measures.csv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F-056 - Beban Kerja Runtime: </w:t>
      </w:r>
      <w:r>
        <w:t xml:space="preserve">[OBSERVED (teramati langsung); confidence TINGGI] Subset BUSINESS_CANDIDATE yang terekam: 14 eksekusi, total durasi 1946 ms, P50/P95/P99 6/1835/1835 ms, maksimum 1835 ms.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Durasi untuk query hash yang terekam telah tersedia; latency tipikal pengguna dan root cause TIDAK DAPAT DIBUKTIKAN DARI EVIDENCE SAAT INI (NOT PROVABLE FROM CURRENT EVIDENCE).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parsed XEvent Tabular/queries.csv; REPORTS/07_RUNTIME_DATABASE_BASELINE.csv; REPORTS/08_RUNTIME_QUERY_HASH_BASELINE.csv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Storage - </w:t>
      </w:r>
      <w:r>
        <w:t xml:space="preserve">Tinjau tabel/kolom dengan konsumsi storage terbesar. Hapus atau ubah strukturnya hanya setelah dependency dan penggunaan divalidasi.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Model footprint lebih kecil dan potensi scan/refresh yang lebih cepat.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Partisi - </w:t>
      </w:r>
      <w:r>
        <w:t xml:space="preserve">Validasi riwayat refresh dan batas tanggal, lalu uji incremental partition berbasis waktu.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Cakupan refresh lebih kecil dan pengelolaan operasional lebih baik.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TINGGI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Kompleksitas Model - </w:t>
      </w:r>
      <w:r>
        <w:t xml:space="preserve">Inventarisasi dependency report dan tandai kolom bernilai rendah sebagai CANDIDATE FOR USAGE VALIDATION sebelum dihapus.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Cakupan semantic model lebih kecil serta potensi pengurangan storage dan waktu refresh.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Beban Kerja Runtime - </w:t>
      </w:r>
      <w:r>
        <w:t xml:space="preserve">Reproduksi query hash dengan total durasi tertinggi bersama business owner; ambil minimal tiga warm run yang comparable dan Server Timings sebelum mengubah desain DAX/model.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Fokuskan tuning pada query kandidat yang telah terukur dan hindari penulisan ulang yang bersifat spekulatif.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RENDAH / RENDAH untuk profiling; SEDANG untuk perubahan model/DAX berikutnya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Petakan hash ke report/owner, lakukan satu warm-up dan minimal tiga warm run; bandingkan total durasi, CPU, SE query count, serta hasil semantic before/after.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Finding-007-premi dan lembur monitoring</dc:title>
  <dc:subject>Assessment performa SSAS berbasis evidence</dc:subject>
  <dc:creator>SSAS Assessment</dc:creator>
  <cp:lastModifiedBy>SSAS Assessment</cp:lastModifiedBy>
  <cp:revision>1</cp:revision>
  <dcterms:created xsi:type="dcterms:W3CDTF">2026-09-14T17:34:51Z</dcterms:created>
  <dcterms:modified xsi:type="dcterms:W3CDTF">2026-09-14T17:34:51Z</dcterms:modified>
</cp:coreProperties>
</file>