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SSAS-008-MRData</w:t>
      </w:r>
    </w:p>
    <w:p>
      <w:pPr>
        <w:pStyle w:val="NoSpacing"/>
      </w:pPr>
      <w:r>
        <w:t xml:space="preserve">Storage, Relationship, 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008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MRData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F-015, F-016, F-017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71/100 -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18 tabel; 202 kolom; 10 measure; 45 relationship; 18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87 eksekusi; total durasi 948 ms; P50/P95/P99 7/33/41 ms; maksimum 41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F-015 - Storage: </w:t>
      </w:r>
      <w:r>
        <w:t xml:space="preserve">[OBSERVED (teramati langsung); confidence TINGGI] Skor storage relatif terhadap fleet 85; USED_SIZE 44.939 MB, dictionary 128.536 MB, jumlah baris maksimum yang tercatat pada storage table 988,487.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F-016 - Relationship: </w:t>
      </w:r>
      <w:r>
        <w:t xml:space="preserve">[REQUIRES VALIDATION (memerlukan validasi); confidence SEDANG] 45 relationship (0 inactive, 1 indikator bidirectional, 0 kemungkinan many-to-many), skor relatif terhadap fleet 78.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Propagasi filter yang kompleks dapat menambah beban DAX/Formula Engine dan risiko pemeliharaan, tetapi dampaknya pada runtime belum diukur.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metadata/relationships.csv;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F-017 - Kompleksitas Model: </w:t>
      </w:r>
      <w:r>
        <w:t xml:space="preserve">[OBSERVED (teramati langsung); confidence TINGGI] 18 tabel, 202 kolom, 10 measure; skor kompleksitas relatif terhadap fleet 85.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Relationship - </w:t>
      </w:r>
      <w:r>
        <w:t xml:space="preserve">Petakan cardinality dan jalur filter; validasi jalur yang ambigu dan batasi bidirectional filter jika semantic bisnis memungkinkan.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Propagasi filter lebih sederhana dan hasil kalkulasi lebih mudah diprediksi.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Finding-008-MRData</dc:title>
  <dc:subject>Assessment performa SSAS berbasis evidence</dc:subject>
  <dc:creator>SSAS Assessment</dc:creator>
  <cp:lastModifiedBy>SSAS Assessment</cp:lastModifiedBy>
  <cp:revision>1</cp:revision>
  <dcterms:created xsi:type="dcterms:W3CDTF">2026-09-14T17:34:51Z</dcterms:created>
  <dcterms:modified xsi:type="dcterms:W3CDTF">2026-09-14T17:34:51Z</dcterms:modified>
</cp:coreProperties>
</file>