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SSAS-002-Segregation</w:t>
      </w:r>
    </w:p>
    <w:p>
      <w:pPr>
        <w:pStyle w:val="NoSpacing"/>
      </w:pPr>
      <w:r>
        <w:t xml:space="preserve">Storage, Partisi, Beban Kerja Runtime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Segregation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F-027, F-028, F-052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59/100 -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3 tabel; 72 kolom; 8 measure; 2 relationship; 3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157 eksekusi; total durasi 19807 ms; P50/P95/P99 11/384/1756 ms; maksimum 8186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F-027 - Storage: </w:t>
      </w:r>
      <w:r>
        <w:t xml:space="preserve">[OBSERVED (teramati langsung); confidence TINGGI] Skor storage relatif terhadap fleet 80; USED_SIZE 21.757 MB, dictionary 74.284 MB, jumlah baris maksimum yang tercatat pada storage table 1,167,904.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F-028 - Partisi: </w:t>
      </w:r>
      <w:r>
        <w:t xml:space="preserve">[INFERRED (disimpulkan dari evidence); confidence SEDANG] Struktur storage terbesar memiliki 1,167,904 baris, sedangkan metadata menunjukkan 3 partisi untuk 3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F-052 - Beban Kerja Runtime: </w:t>
      </w:r>
      <w:r>
        <w:t xml:space="preserve">[OBSERVED (teramati langsung); confidence TINGGI] Subset BUSINESS_CANDIDATE yang terekam: 157 eksekusi, total durasi 19807 ms, P50/P95/P99 11/384/1756 ms, maksimum 8186 ms.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Durasi untuk query hash yang terekam telah tersedia; latency tipikal pengguna dan root cause TIDAK DAPAT DIBUKTIKAN DARI EVIDENCE SAAT INI (NOT PROVABLE FROM CURRENT EVIDENCE).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parsed XEvent Tabular/queries.csv; REPORTS/07_RUNTIME_DATABASE_BASELINE.csv; REPORTS/08_RUNTIME_QUERY_HASH_BASELINE.csv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Beban Kerja Runtime - </w:t>
      </w:r>
      <w:r>
        <w:t xml:space="preserve">Reproduksi query hash dengan total durasi tertinggi bersama business owner; ambil minimal tiga warm run yang comparable dan Server Timings sebelum mengubah desain DAX/model.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Fokuskan tuning pada query kandidat yang telah terukur dan hindari penulisan ulang yang bersifat spekulatif.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RENDAH / RENDAH untuk profiling; SEDANG untuk perubahan model/DAX berikutnya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Petakan hash ke report/owner, lakukan satu warm-up dan minimal tiga warm run; bandingkan total durasi, CPU, SE query count, serta hasil semantic before/after.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Finding-002-Segregation</dc:title>
  <dc:subject>Assessment performa SSAS berbasis evidence</dc:subject>
  <dc:creator>SSAS Assessment</dc:creator>
  <cp:lastModifiedBy>SSAS Assessment</cp:lastModifiedBy>
  <cp:revision>1</cp:revision>
  <dcterms:created xsi:type="dcterms:W3CDTF">2026-09-17T04:16:14Z</dcterms:created>
  <dcterms:modified xsi:type="dcterms:W3CDTF">2026-09-17T04:16:14Z</dcterms:modified>
</cp:coreProperties>
</file>