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SSAS-003-LKK Per Divisi</w:t>
      </w:r>
    </w:p>
    <w:p>
      <w:pPr>
        <w:pStyle w:val="NoSpacing"/>
      </w:pPr>
      <w:r>
        <w:t xml:space="preserve">Beban Kerja Runtime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003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LKK Per Divisi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F-053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34/100 - SEDANG / P2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2 tabel; 43 kolom; 10 measure;  relationship; 2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2 eksekusi; total durasi 14085 ms; P50/P95/P99 7/14078/14078 ms; maksimum 14078 ms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F-053 - Beban Kerja Runtime: </w:t>
      </w:r>
      <w:r>
        <w:t xml:space="preserve">[OBSERVED (teramati langsung); confidence TINGGI] Subset BUSINESS_CANDIDATE yang terekam: 2 eksekusi, total durasi 14085 ms, P50/P95/P99 7/14078/14078 ms, maksimum 14078 ms.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Durasi untuk query hash yang terekam telah tersedia; latency tipikal pengguna dan root cause TIDAK DAPAT DIBUKTIKAN DARI EVIDENCE SAAT INI (NOT PROVABLE FROM CURRENT EVIDENCE).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parsed XEvent Tabular/queries.csv; REPORTS/07_RUNTIME_DATABASE_BASELINE.csv; REPORTS/08_RUNTIME_QUERY_HASH_BASELINE.csv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Beban Kerja Runtime - </w:t>
      </w:r>
      <w:r>
        <w:t xml:space="preserve">Reproduksi query hash dengan total durasi tertinggi bersama business owner; ambil minimal tiga warm run yang comparable dan Server Timings sebelum mengubah desain DAX/model.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Fokuskan tuning pada query kandidat yang telah terukur dan hindari penulisan ulang yang bersifat spekulatif.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RENDAH / RENDAH untuk profiling; SEDANG untuk perubahan model/DAX berikutnya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Petakan hash ke report/owner, lakukan satu warm-up dan minimal tiga warm run; bandingkan total durasi, CPU, SE query count, serta hasil semantic before/after.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Finding-003-LKK Per Divisi</dc:title>
  <dc:subject>Assessment performa SSAS berbasis evidence</dc:subject>
  <dc:creator>SSAS Assessment</dc:creator>
  <cp:lastModifiedBy>SSAS Assessment</cp:lastModifiedBy>
  <cp:revision>1</cp:revision>
  <dcterms:created xsi:type="dcterms:W3CDTF">2026-09-17T04:16:14Z</dcterms:created>
  <dcterms:modified xsi:type="dcterms:W3CDTF">2026-09-17T04:16:14Z</dcterms:modified>
</cp:coreProperties>
</file>