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Spacing"/>
      </w:pPr>
      <w:r>
        <w:t xml:space="preserve">Temuan SSAS-008-MRData</w:t>
      </w:r>
    </w:p>
    <w:p>
      <w:pPr>
        <w:pStyle w:val="NoSpacing"/>
      </w:pPr>
      <w:r>
        <w:t xml:space="preserve">Storage, Relationship, Kompleksitas Model</w:t>
      </w:r>
    </w:p>
    <w:p>
      <w:r>
        <w:t xml:space="preserve"/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2600"/>
        <w:gridCol w:w="6500"/>
      </w:tblGrid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No.</w:t>
            </w:r>
          </w:p>
        </w:tc>
        <w:tc>
          <w:tcPr>
            <w:tcW w:w="6500" w:type="dxa"/>
          </w:tcPr>
          <w:p>
            <w:r>
              <w:t xml:space="preserve">008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Database</w:t>
            </w:r>
          </w:p>
        </w:tc>
        <w:tc>
          <w:tcPr>
            <w:tcW w:w="6500" w:type="dxa"/>
          </w:tcPr>
          <w:p>
            <w:r>
              <w:t xml:space="preserve">MRData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Tipe Model</w:t>
            </w:r>
          </w:p>
        </w:tc>
        <w:tc>
          <w:tcPr>
            <w:tcW w:w="6500" w:type="dxa"/>
          </w:tcPr>
          <w:p>
            <w:r>
              <w:t xml:space="preserve">TABULAR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Compatibility Level</w:t>
            </w:r>
          </w:p>
        </w:tc>
        <w:tc>
          <w:tcPr>
            <w:tcW w:w="6500" w:type="dxa"/>
          </w:tcPr>
          <w:p>
            <w:r>
              <w:t xml:space="preserve">1200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ID Temuan</w:t>
            </w:r>
          </w:p>
        </w:tc>
        <w:tc>
          <w:tcPr>
            <w:tcW w:w="6500" w:type="dxa"/>
          </w:tcPr>
          <w:p>
            <w:r>
              <w:t xml:space="preserve">F-015, F-016, F-017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Risiko Statis</w:t>
            </w:r>
          </w:p>
        </w:tc>
        <w:tc>
          <w:tcPr>
            <w:tcW w:w="6500" w:type="dxa"/>
          </w:tcPr>
          <w:p>
            <w:r>
              <w:t xml:space="preserve">71/100 - TINGGI / P1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Profil Model</w:t>
            </w:r>
          </w:p>
        </w:tc>
        <w:tc>
          <w:tcPr>
            <w:tcW w:w="6500" w:type="dxa"/>
          </w:tcPr>
          <w:p>
            <w:r>
              <w:t xml:space="preserve">18 tabel; 202 kolom; 10 measure; 45 relationship; 18 partisi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Runtime yang Terekam</w:t>
            </w:r>
          </w:p>
        </w:tc>
        <w:tc>
          <w:tcPr>
            <w:tcW w:w="6500" w:type="dxa"/>
          </w:tcPr>
          <w:p>
            <w:r>
              <w:t xml:space="preserve">87 eksekusi; total durasi 948 ms; P50/P95/P99 7/33/41 ms; maksimum 41 ms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Status Tindakan</w:t>
            </w:r>
          </w:p>
        </w:tc>
        <w:tc>
          <w:tcPr>
            <w:tcW w:w="6500" w:type="dxa"/>
          </w:tcPr>
          <w:p>
            <w:r>
              <w:t xml:space="preserve">INVESTIGASI / VALIDASI SEBELUM PERUBAHAN</w:t>
            </w:r>
          </w:p>
        </w:tc>
      </w:tr>
    </w:tbl>
    <w:p>
      <w:pPr>
        <w:pStyle w:val="Heading1"/>
      </w:pPr>
      <w:r>
        <w:t xml:space="preserve">Temuan</w:t>
      </w:r>
    </w:p>
    <w:p>
      <w:pPr>
        <w:pStyle w:val="ListParagraph"/>
      </w:pPr>
      <w:r>
        <w:rPr>
          <w:b/>
        </w:rPr>
        <w:t xml:space="preserve">F-015 - Storage: </w:t>
      </w:r>
      <w:r>
        <w:t xml:space="preserve">[OBSERVED (teramati langsung); confidence TINGGI] Skor storage relatif terhadap fleet 85; USED_SIZE 44.939 MB, dictionary 128.536 MB, jumlah baris maksimum yang tercatat pada storage table 988,487.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Data ter-encode yang tidak proporsional meningkatkan penggunaan kapasitas dan potensi volume scan; biaya query aktual belum terbukti.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storage/storage_column_segments.csv; storage/storage_table_columns.csv; storage/storage_tables.csv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F-016 - Relationship: </w:t>
      </w:r>
      <w:r>
        <w:t xml:space="preserve">[REQUIRES VALIDATION (memerlukan validasi); confidence SEDANG] 45 relationship (0 inactive, 1 indikator bidirectional, 0 kemungkinan many-to-many), skor relatif terhadap fleet 78.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Propagasi filter yang kompleks dapat menambah beban DAX/Formula Engine dan risiko pemeliharaan, tetapi dampaknya pada runtime belum diukur.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metadata/relationships.csv; model/database.tmsl.json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F-017 - Kompleksitas Model: </w:t>
      </w:r>
      <w:r>
        <w:t xml:space="preserve">[OBSERVED (teramati langsung); confidence TINGGI] 18 tabel, 202 kolom, 10 measure; skor kompleksitas relatif terhadap fleet 85.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Model yang luas menambah cakupan metadata, refresh, usability, dan area yang perlu dioptimalkan.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metadata/tables.csv; metadata/columns.csv; metadata/measures.csv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Batas interpretasi: </w:t>
      </w:r>
      <w:r>
        <w:t xml:space="preserve">Korelasi structural/static bukan bukti root cause pada query atau refresh. Nilai runtime hanya menggambarkan subset BUSINESS_CANDIDATE yang terekam. Workload tipikal, CPU pressure, dan memory pressure TIDAK DAPAT DIBUKTIKAN DARI EVIDENCE SAAT INI (NOT PROVABLE FROM CURRENT EVIDENCE).</w:t>
      </w:r>
    </w:p>
    <w:p>
      <w:pPr>
        <w:pStyle w:val="Heading1"/>
      </w:pPr>
      <w:r>
        <w:t xml:space="preserve">Rencana Tindakan dan Solusi</w:t>
      </w:r>
    </w:p>
    <w:p>
      <w:pPr>
        <w:pStyle w:val="ListParagraph"/>
      </w:pPr>
      <w:r>
        <w:rPr>
          <w:b/>
        </w:rPr>
        <w:t xml:space="preserve">Storage - </w:t>
      </w:r>
      <w:r>
        <w:t xml:space="preserve">Tinjau tabel/kolom dengan konsumsi storage terbesar. Hapus atau ubah strukturnya hanya setelah dependency dan penggunaan divalidasi.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Model footprint lebih kecil dan potensi scan/refresh yang lebih cepat.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Relationship - </w:t>
      </w:r>
      <w:r>
        <w:t xml:space="preserve">Petakan cardinality dan jalur filter; validasi jalur yang ambigu dan batasi bidirectional filter jika semantic bisnis memungkinkan.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Propagasi filter lebih sederhana dan hasil kalkulasi lebih mudah diprediksi.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Kompleksitas Model - </w:t>
      </w:r>
      <w:r>
        <w:t xml:space="preserve">Inventarisasi dependency report dan tandai kolom bernilai rendah sebagai CANDIDATE FOR USAGE VALIDATION sebelum dihapus.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semantic model lebih kecil serta potensi pengurangan storage dan waktu refresh.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Heading1"/>
      </w:pPr>
      <w:r>
        <w:t xml:space="preserve">Tahap Implementasi dan Validasi</w:t>
      </w:r>
    </w:p>
    <w:p>
      <w:pPr>
        <w:pStyle w:val="ListParagraph"/>
      </w:pPr>
      <w:r>
        <w:t xml:space="preserve">1. Petakan query hash dan object model ke Power BI, Excel, atau report bisnis pemiliknya.</w:t>
      </w:r>
    </w:p>
    <w:p>
      <w:pPr>
        <w:pStyle w:val="ListParagraph"/>
      </w:pPr>
      <w:r>
        <w:t xml:space="preserve">2. Jalankan 3-5 query bisnis yang representatif: satu warm-up, kemudian minimal tiga warm run yang comparable.</w:t>
      </w:r>
    </w:p>
    <w:p>
      <w:pPr>
        <w:pStyle w:val="ListParagraph"/>
      </w:pPr>
      <w:r>
        <w:t xml:space="preserve">3. Ambil 2-3 normal run refresh/processing untuk setiap kandidat, termasuk waktu mulai/selesai, partisi, process type, jumlah baris, status, dan error.</w:t>
      </w:r>
    </w:p>
    <w:p>
      <w:pPr>
        <w:pStyle w:val="ListParagraph"/>
      </w:pPr>
      <w:r>
        <w:t xml:space="preserve">4. Terapkan hanya perubahan yang telah disetujui dan dapat di-rollback pada test environment; jangan melakukan clear cache atau processing hanya untuk assessment tanpa window yang disetujui.</w:t>
      </w:r>
    </w:p>
    <w:p>
      <w:pPr>
        <w:pStyle w:val="ListParagraph"/>
      </w:pPr>
      <w:r>
        <w:t xml:space="preserve">5. Validasi kesetaraan hasil semantic, row reconciliation, metrik query, metrik processing, downstream output, dan kesiapan rollback.</w:t>
      </w:r>
    </w:p>
    <w:p>
      <w:pPr>
        <w:pStyle w:val="ListParagraph"/>
      </w:pPr>
      <w:r>
        <w:t xml:space="preserve">Target persentase atau durasi tidak ditetapkan sebelum tersedia baseline yang comparable dan business acceptance threshold yang disepakati.</w:t>
      </w:r>
    </w:p>
    <w:p>
      <w:pPr>
        <w:pStyle w:val="Heading1"/>
      </w:pPr>
      <w:r>
        <w:t xml:space="preserve">Validasi Before / After</w:t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1800"/>
        <w:gridCol w:w="2100"/>
        <w:gridCol w:w="2100"/>
        <w:gridCol w:w="3100"/>
      </w:tblGrid>
      <w:tr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Metrik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Sebelum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Sesudah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Kriteria penerimaan / guardrail</w:t>
            </w:r>
          </w:p>
        </w:tc>
      </w:tr>
      <w:tr>
        <w:tc>
          <w:tcPr>
            <w:tcW w:w="2200" w:type="dxa"/>
          </w:tcPr>
          <w:p>
            <w:r>
              <w:t xml:space="preserve">Total query / P50 / P95 / P99</w:t>
            </w:r>
          </w:p>
        </w:tc>
        <w:tc>
          <w:tcPr>
            <w:tcW w:w="2200" w:type="dxa"/>
          </w:tcPr>
          <w:p>
            <w:r>
              <w:t xml:space="preserve">[isi hasil baseline]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Query, filter, cache mode, dan workload window harus comparable</w:t>
            </w:r>
          </w:p>
        </w:tc>
      </w:tr>
      <w:tr>
        <w:tc>
          <w:tcPr>
            <w:tcW w:w="2200" w:type="dxa"/>
          </w:tcPr>
          <w:p>
            <w:r>
              <w:t xml:space="preserve">FE / SE / SE query count</w:t>
            </w:r>
          </w:p>
        </w:tc>
        <w:tc>
          <w:tcPr>
            <w:tcW w:w="2200" w:type="dxa"/>
          </w:tcPr>
          <w:p>
            <w:r>
              <w:t xml:space="preserve">[isi Server Timings]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Hotspot terukur membaik dan tidak ada regresi material</w:t>
            </w:r>
          </w:p>
        </w:tc>
      </w:tr>
      <w:tr>
        <w:tc>
          <w:tcPr>
            <w:tcW w:w="2200" w:type="dxa"/>
          </w:tcPr>
          <w:p>
            <w:r>
              <w:t xml:space="preserve">Refresh / processing</w:t>
            </w:r>
          </w:p>
        </w:tc>
        <w:tc>
          <w:tcPr>
            <w:tcW w:w="2200" w:type="dxa"/>
          </w:tcPr>
          <w:p>
            <w:r>
              <w:t xml:space="preserve">[median 2-3 normal run]</w:t>
            </w:r>
          </w:p>
        </w:tc>
        <w:tc>
          <w:tcPr>
            <w:tcW w:w="2200" w:type="dxa"/>
          </w:tcPr>
          <w:p>
            <w:r>
              <w:t xml:space="preserve">[median 2-3 run yang comparable]</w:t>
            </w:r>
          </w:p>
        </w:tc>
        <w:tc>
          <w:tcPr>
            <w:tcW w:w="2200" w:type="dxa"/>
          </w:tcPr>
          <w:p>
            <w:r>
              <w:t xml:space="preserve">Durasi/scope membaik; status dan retry tidak memburuk</w:t>
            </w:r>
          </w:p>
        </w:tc>
      </w:tr>
      <w:tr>
        <w:tc>
          <w:tcPr>
            <w:tcW w:w="2200" w:type="dxa"/>
          </w:tcPr>
          <w:p>
            <w:r>
              <w:t xml:space="preserve">Baris / hasil semantic</w:t>
            </w:r>
          </w:p>
        </w:tc>
        <w:tc>
          <w:tcPr>
            <w:tcW w:w="2200" w:type="dxa"/>
          </w:tcPr>
          <w:p>
            <w:r>
              <w:t xml:space="preserve">[baseline]</w:t>
            </w:r>
          </w:p>
        </w:tc>
        <w:tc>
          <w:tcPr>
            <w:tcW w:w="2200" w:type="dxa"/>
          </w:tcPr>
          <w:p>
            <w:r>
              <w:t xml:space="preserve">[sesudah]</w:t>
            </w:r>
          </w:p>
        </w:tc>
        <w:tc>
          <w:tcPr>
            <w:tcW w:w="2200" w:type="dxa"/>
          </w:tcPr>
          <w:p>
            <w:r>
              <w:t xml:space="preserve">Row reconciliation dan nilai bisnis tetap sama</w:t>
            </w:r>
          </w:p>
        </w:tc>
      </w:tr>
      <w:tr>
        <w:tc>
          <w:tcPr>
            <w:tcW w:w="2200" w:type="dxa"/>
          </w:tcPr>
          <w:p>
            <w:r>
              <w:t xml:space="preserve">Keputusan</w:t>
            </w:r>
          </w:p>
        </w:tc>
        <w:tc>
          <w:tcPr>
            <w:tcW w:w="2200" w:type="dxa"/>
          </w:tcPr>
          <w:p>
            <w:r>
              <w:t xml:space="preserve">-</w:t>
            </w:r>
          </w:p>
        </w:tc>
        <w:tc>
          <w:tcPr>
            <w:tcW w:w="2200" w:type="dxa"/>
          </w:tcPr>
          <w:p>
            <w:r>
              <w:t xml:space="preserve">[PROMOTE / REVISE / ROLLBACK]</w:t>
            </w:r>
          </w:p>
        </w:tc>
        <w:tc>
          <w:tcPr>
            <w:tcW w:w="2200" w:type="dxa"/>
          </w:tcPr>
          <w:p>
            <w:r>
              <w:t xml:space="preserve">Lakukan rollback jika correctness berubah atau target yang disepakati tidak tercapai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UI">
    <w:altName w:val="Segoe U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3Font_13">
    <w:altName w:val="Yu Gothic"/>
    <w:panose1 w:val="00000000000000000000"/>
    <w:charset w:val="80"/>
    <w:family w:val="swiss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5FE9"/>
    <w:multiLevelType w:val="hybridMultilevel"/>
    <w:tmpl w:val="58A0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869B7"/>
    <w:multiLevelType w:val="hybridMultilevel"/>
    <w:tmpl w:val="3C422FA8"/>
    <w:lvl w:ilvl="0" w:tplc="0FDCB60A">
      <w:start w:val="1"/>
      <w:numFmt w:val="decimalZero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F43E7"/>
    <w:multiLevelType w:val="hybridMultilevel"/>
    <w:tmpl w:val="183401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C2DFE"/>
    <w:multiLevelType w:val="hybridMultilevel"/>
    <w:tmpl w:val="DA5445D4"/>
    <w:lvl w:ilvl="0" w:tplc="189A489C">
      <w:numFmt w:val="bullet"/>
      <w:lvlText w:val="-"/>
      <w:lvlJc w:val="left"/>
      <w:pPr>
        <w:ind w:left="720" w:hanging="360"/>
      </w:pPr>
      <w:rPr>
        <w:rFonts w:ascii="SegoeUI" w:eastAsia="T3Font_13" w:hAnsi="SegoeUI" w:cs="Segoe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41798D"/>
    <w:multiLevelType w:val="hybridMultilevel"/>
    <w:tmpl w:val="28000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2243D"/>
    <w:multiLevelType w:val="hybridMultilevel"/>
    <w:tmpl w:val="94C02F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4444517">
    <w:abstractNumId w:val="1"/>
  </w:num>
  <w:num w:numId="2" w16cid:durableId="1857693876">
    <w:abstractNumId w:val="4"/>
  </w:num>
  <w:num w:numId="3" w16cid:durableId="2095741260">
    <w:abstractNumId w:val="2"/>
  </w:num>
  <w:num w:numId="4" w16cid:durableId="805926114">
    <w:abstractNumId w:val="0"/>
  </w:num>
  <w:num w:numId="5" w16cid:durableId="1945989275">
    <w:abstractNumId w:val="5"/>
  </w:num>
  <w:num w:numId="6" w16cid:durableId="1859151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D8D"/>
    <w:rsid w:val="000F0CD0"/>
    <w:rsid w:val="00100162"/>
    <w:rsid w:val="001312EE"/>
    <w:rsid w:val="00200C8C"/>
    <w:rsid w:val="002917CF"/>
    <w:rsid w:val="002E26E2"/>
    <w:rsid w:val="00331A91"/>
    <w:rsid w:val="004D128C"/>
    <w:rsid w:val="00690A23"/>
    <w:rsid w:val="0087268C"/>
    <w:rsid w:val="00B25CAE"/>
    <w:rsid w:val="00BD7BA8"/>
    <w:rsid w:val="00C404BB"/>
    <w:rsid w:val="00D468D2"/>
    <w:rsid w:val="00E11D7C"/>
    <w:rsid w:val="00F23D8D"/>
    <w:rsid w:val="00FA50DA"/>
    <w:rsid w:val="00FF0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6352D"/>
  <w15:chartTrackingRefBased/>
  <w15:docId w15:val="{2AFB28A7-8629-448B-847B-0EF1BAA1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A91"/>
    <w:pPr>
      <w:ind w:left="720"/>
      <w:contextualSpacing/>
    </w:pPr>
  </w:style>
  <w:style w:type="table" w:styleId="TableGrid">
    <w:name w:val="Table Grid"/>
    <w:basedOn w:val="TableNormal"/>
    <w:uiPriority w:val="39"/>
    <w:rsid w:val="00331A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0162"/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paragraph" w:styleId="NoSpacing">
    <w:name w:val="No Spacing"/>
    <w:uiPriority w:val="1"/>
    <w:qFormat/>
    <w:rsid w:val="00C404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SSAS Finding-008-MRData</dc:title>
  <dc:subject>Assessment performa SSAS berbasis evidence</dc:subject>
  <dc:creator>SSAS Assessment</dc:creator>
  <cp:lastModifiedBy>SSAS Assessment</cp:lastModifiedBy>
  <cp:revision>1</cp:revision>
  <dcterms:created xsi:type="dcterms:W3CDTF">2026-09-17T04:16:15Z</dcterms:created>
  <dcterms:modified xsi:type="dcterms:W3CDTF">2026-09-17T04:16:15Z</dcterms:modified>
</cp:coreProperties>
</file>