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SSAS-010-LemburMill</w:t>
      </w:r>
    </w:p>
    <w:p>
      <w:pPr>
        <w:pStyle w:val="NoSpacing"/>
      </w:pPr>
      <w:r>
        <w:t xml:space="preserve">Storage, 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LemburMill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F-020, F-021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61/100 -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12 tabel; 151 kolom; 0 measure; 22 relationship; 12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29 eksekusi; total durasi 368 ms; P50/P95/P99 8/39/40 ms; maksimum 40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F-020 - Storage: </w:t>
      </w:r>
      <w:r>
        <w:t xml:space="preserve">[OBSERVED (teramati langsung); confidence TINGGI] Skor storage relatif terhadap fleet 80; USED_SIZE 14.377 MB, dictionary 47.193 MB, jumlah baris maksimum yang tercatat pada storage table 1,765,530.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F-021 - Partisi: </w:t>
      </w:r>
      <w:r>
        <w:t xml:space="preserve">[INFERRED (disimpulkan dari evidence); confidence SEDANG] Struktur storage terbesar memiliki 1,765,530 baris, sedangkan metadata menunjukkan 12 partisi untuk 12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Finding-010-LemburMill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