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SSAS-013-Weekly Cost Element Estimation Report</w:t>
      </w:r>
    </w:p>
    <w:p>
      <w:pPr>
        <w:pStyle w:val="NoSpacing"/>
      </w:pPr>
      <w:r>
        <w:t xml:space="preserve">Storage, 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013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Weekly Cost Element Estimation Report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F-025, F-026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60/100 - TINGGI / P1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2 tabel; 43 kolom; 81 measure;  relationship; 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F-025 - Storage: </w:t>
      </w:r>
      <w:r>
        <w:t xml:space="preserve">[OBSERVED (teramati langsung); confidence TINGGI] Skor storage relatif terhadap fleet 92; USED_SIZE 81.523 MB, dictionary 95.472 MB, jumlah baris maksimum yang tercatat pada storage table 5,180,373.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F-026 - Partisi: </w:t>
      </w:r>
      <w:r>
        <w:t xml:space="preserve">[INFERRED (disimpulkan dari evidence); confidence SEDANG] Struktur storage terbesar memiliki 5,180,373 baris, sedangkan metadata menunjukkan 2 partisi untuk 2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Finding-013-Weekly Cost Element Estimation Report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