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NoSpacing"/>
      </w:pPr>
      <w:r>
        <w:t xml:space="preserve">Temuan SSAS-020-Selling Expenses</w:t>
      </w:r>
    </w:p>
    <w:p>
      <w:pPr>
        <w:pStyle w:val="NoSpacing"/>
      </w:pPr>
      <w:r>
        <w:t xml:space="preserve">DAX</w:t>
      </w:r>
    </w:p>
    <w:p>
      <w:r>
        <w:t xml:space="preserve"/>
      </w:r>
    </w:p>
    <w:tbl>
      <w:tblPr>
        <w:tblW w:w="0" w:type="auto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blGrid>
        <w:gridCol w:w="2600"/>
        <w:gridCol w:w="6500"/>
      </w:tblGrid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No.</w:t>
            </w:r>
          </w:p>
        </w:tc>
        <w:tc>
          <w:tcPr>
            <w:tcW w:w="6500" w:type="dxa"/>
          </w:tcPr>
          <w:p>
            <w:r>
              <w:t xml:space="preserve">020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Database</w:t>
            </w:r>
          </w:p>
        </w:tc>
        <w:tc>
          <w:tcPr>
            <w:tcW w:w="6500" w:type="dxa"/>
          </w:tcPr>
          <w:p>
            <w:r>
              <w:t xml:space="preserve">Selling Expenses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Tipe Model</w:t>
            </w:r>
          </w:p>
        </w:tc>
        <w:tc>
          <w:tcPr>
            <w:tcW w:w="6500" w:type="dxa"/>
          </w:tcPr>
          <w:p>
            <w:r>
              <w:t xml:space="preserve">TABULAR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Compatibility Level</w:t>
            </w:r>
          </w:p>
        </w:tc>
        <w:tc>
          <w:tcPr>
            <w:tcW w:w="6500" w:type="dxa"/>
          </w:tcPr>
          <w:p>
            <w:r>
              <w:t xml:space="preserve">1200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ID Temuan</w:t>
            </w:r>
          </w:p>
        </w:tc>
        <w:tc>
          <w:tcPr>
            <w:tcW w:w="6500" w:type="dxa"/>
          </w:tcPr>
          <w:p>
            <w:r>
              <w:t xml:space="preserve">F-039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Risiko Statis</w:t>
            </w:r>
          </w:p>
        </w:tc>
        <w:tc>
          <w:tcPr>
            <w:tcW w:w="6500" w:type="dxa"/>
          </w:tcPr>
          <w:p>
            <w:r>
              <w:t xml:space="preserve">52/100 - SEDANG / P2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Profil Model</w:t>
            </w:r>
          </w:p>
        </w:tc>
        <w:tc>
          <w:tcPr>
            <w:tcW w:w="6500" w:type="dxa"/>
          </w:tcPr>
          <w:p>
            <w:r>
              <w:t xml:space="preserve">10 tabel; 81 kolom; 154 measure; 10 relationship; 10 partisi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Runtime yang Terekam</w:t>
            </w:r>
          </w:p>
        </w:tc>
        <w:tc>
          <w:tcPr>
            <w:tcW w:w="6500" w:type="dxa"/>
          </w:tcPr>
          <w:p>
            <w:r>
              <w:t xml:space="preserve">Tidak ada query BUSINESS_CANDIDATE yang terekam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Status Tindakan</w:t>
            </w:r>
          </w:p>
        </w:tc>
        <w:tc>
          <w:tcPr>
            <w:tcW w:w="6500" w:type="dxa"/>
          </w:tcPr>
          <w:p>
            <w:r>
              <w:t xml:space="preserve">INVESTIGASI / VALIDASI SEBELUM PERUBAHAN</w:t>
            </w:r>
          </w:p>
        </w:tc>
      </w:tr>
    </w:tbl>
    <w:p>
      <w:pPr>
        <w:pStyle w:val="Heading1"/>
      </w:pPr>
      <w:r>
        <w:t xml:space="preserve">Temuan</w:t>
      </w:r>
    </w:p>
    <w:p>
      <w:pPr>
        <w:pStyle w:val="ListParagraph"/>
      </w:pPr>
      <w:r>
        <w:rPr>
          <w:b/>
        </w:rPr>
        <w:t xml:space="preserve">F-039 - DAX: </w:t>
      </w:r>
      <w:r>
        <w:t xml:space="preserve">[REQUIRES VALIDATION (memerlukan validasi); confidence SEDANG] Pemindaian statis menemukan 257 kemunculan pola berisiko yang dipilih; measure kandidat: Total Q1; Total Q2; Total Q3; Total Q4; Total H1; Total 9M; Total H2; Total H1 ZDS; Total Q1 ZDS; Total 9M ZDS; Total Q2 ZDS; Total H2 ZDS; Total Q3 ZDS; Total Q4 ZDS; Total Q1 Trend; Total Q2 Trend; Total Q3 Trend; Total Q4 Trend; Total H1 Trend; Total 9M Trend; Total H2 Trend; Total Q1 Komposisi Quantity; Total Q2 Komposisi Quantity; Total Q3 Komposisi Quantity; Total Q4 Komposisi Quantity; Total H1 Komposisi Quantity; Total 9M Komposisi Quantity; Total H2 Komposisi Quantity; Total Q1 Komposisi Quantity Filtered; Total Q2 Komposisi Quantity Filtered; Total Q3 Komposisi Quantity Filtered; Total Q4 Komposisi Quantity Filtered; Total H1 Komposisi Quantity Filtered; Total 9M Komposisi Quantity Filtered; Total H2 Komposisi Quantity Filtered; Total Q1 Quarter Amount; Total Q1 Quarter Quantity; Total Q1 Quarter Bal Consol; Total Q2 Quarter Amount; Total Q2 Quarter Quantity; Total Q2 Quarter Bal Consol; Total Q3 Quarter Amount; Total Q3 Quarter Quantity; Total Q3 Quarter Bal Consol; Total Q4 Quarter Amount; Total Q4 Quarter Quantity; Total Q4 Quarter Bal Consol; Total H1 Quarter Amount; Total H1 Quarter Quantity; Total H1 Quarter Bal Consol; Total 9M Quarter Amount; Total 9M Quarter Quantity; Total 9M Quarter Bal Consol; Total H2 Quarter Amount; Total H2 Quarter Quantity; Total H2 Quarter Bal Consol.</w:t>
      </w:r>
    </w:p>
    <w:p>
      <w:pPr>
        <w:pStyle w:val="ListParagraph"/>
      </w:pPr>
      <w:r>
        <w:rPr>
          <w:b/>
        </w:rPr>
        <w:t xml:space="preserve">Potensi dampak: </w:t>
      </w:r>
      <w:r>
        <w:t xml:space="preserve">Pola iterator/context transition dapat menambah beban Formula Engine; syntax saja tidak membuktikan bahwa query lambat.</w:t>
      </w:r>
    </w:p>
    <w:p>
      <w:pPr>
        <w:pStyle w:val="ListParagraph"/>
      </w:pPr>
      <w:r>
        <w:rPr>
          <w:b/>
        </w:rPr>
        <w:t xml:space="preserve">Evidence: </w:t>
      </w:r>
      <w:r>
        <w:t xml:space="preserve">metadata/measures.csv; model/database.tmsl.json</w:t>
      </w:r>
    </w:p>
    <w:p>
      <w:pPr>
        <w:pStyle w:val="ListParagraph"/>
      </w:pPr>
      <w:r>
        <w:t xml:space="preserve"/>
      </w:r>
    </w:p>
    <w:p>
      <w:pPr>
        <w:pStyle w:val="ListParagraph"/>
      </w:pPr>
      <w:r>
        <w:rPr>
          <w:b/>
        </w:rPr>
        <w:t xml:space="preserve">Batas interpretasi: </w:t>
      </w:r>
      <w:r>
        <w:t xml:space="preserve">Korelasi structural/static bukan bukti root cause pada query atau refresh. Nilai runtime hanya menggambarkan subset BUSINESS_CANDIDATE yang terekam. Workload tipikal, CPU pressure, dan memory pressure TIDAK DAPAT DIBUKTIKAN DARI EVIDENCE SAAT INI (NOT PROVABLE FROM CURRENT EVIDENCE).</w:t>
      </w:r>
    </w:p>
    <w:p>
      <w:pPr>
        <w:pStyle w:val="Heading1"/>
      </w:pPr>
      <w:r>
        <w:t xml:space="preserve">Rencana Tindakan dan Solusi</w:t>
      </w:r>
    </w:p>
    <w:p>
      <w:pPr>
        <w:pStyle w:val="ListParagraph"/>
      </w:pPr>
      <w:r>
        <w:rPr>
          <w:b/>
        </w:rPr>
        <w:t xml:space="preserve">DAX - </w:t>
      </w:r>
      <w:r>
        <w:t xml:space="preserve">Ambil query plan dan Server Timings yang representatif; lakukan refactor hanya pada hotspot yang terukur menggunakan base measure yang dapat digunakan kembali atau input iterator yang lebih kecil.</w:t>
      </w:r>
    </w:p>
    <w:p>
      <w:pPr>
        <w:pStyle w:val="ListParagraph"/>
      </w:pPr>
      <w:r>
        <w:rPr>
          <w:b/>
        </w:rPr>
        <w:t xml:space="preserve">Manfaat yang diharapkan: </w:t>
      </w:r>
      <w:r>
        <w:t xml:space="preserve">Potensi penurunan CPU dan latency pada hotspot yang telah dikonfirmasi.</w:t>
      </w:r>
    </w:p>
    <w:p>
      <w:pPr>
        <w:pStyle w:val="ListParagraph"/>
      </w:pPr>
      <w:r>
        <w:rPr>
          <w:b/>
        </w:rPr>
        <w:t xml:space="preserve">Effort / risiko: </w:t>
      </w:r>
      <w:r>
        <w:t xml:space="preserve">SEDANG / SEDANG - risiko regresi semantic/dependency jika perubahan dilakukan tanpa validasi</w:t>
      </w:r>
    </w:p>
    <w:p>
      <w:pPr>
        <w:pStyle w:val="ListParagraph"/>
      </w:pPr>
      <w:r>
        <w:rPr>
          <w:b/>
        </w:rPr>
        <w:t xml:space="preserve">Metode validasi: </w:t>
      </w:r>
      <w:r>
        <w:t xml:space="preserve">Benchmark query atau refresh before/after yang representatif, disertai semantic regression test</w:t>
      </w:r>
    </w:p>
    <w:p>
      <w:pPr>
        <w:pStyle w:val="ListParagraph"/>
      </w:pPr>
      <w:r>
        <w:t xml:space="preserve"/>
      </w:r>
    </w:p>
    <w:p>
      <w:pPr>
        <w:pStyle w:val="Heading1"/>
      </w:pPr>
      <w:r>
        <w:t xml:space="preserve">Tahap Implementasi dan Validasi</w:t>
      </w:r>
    </w:p>
    <w:p>
      <w:pPr>
        <w:pStyle w:val="ListParagraph"/>
      </w:pPr>
      <w:r>
        <w:t xml:space="preserve">1. Petakan query hash dan object model ke Power BI, Excel, atau report bisnis pemiliknya.</w:t>
      </w:r>
    </w:p>
    <w:p>
      <w:pPr>
        <w:pStyle w:val="ListParagraph"/>
      </w:pPr>
      <w:r>
        <w:t xml:space="preserve">2. Jalankan 3-5 query bisnis yang representatif: satu warm-up, kemudian minimal tiga warm run yang comparable.</w:t>
      </w:r>
    </w:p>
    <w:p>
      <w:pPr>
        <w:pStyle w:val="ListParagraph"/>
      </w:pPr>
      <w:r>
        <w:t xml:space="preserve">3. Ambil 2-3 normal run refresh/processing untuk setiap kandidat, termasuk waktu mulai/selesai, partisi, process type, jumlah baris, status, dan error.</w:t>
      </w:r>
    </w:p>
    <w:p>
      <w:pPr>
        <w:pStyle w:val="ListParagraph"/>
      </w:pPr>
      <w:r>
        <w:t xml:space="preserve">4. Terapkan hanya perubahan yang telah disetujui dan dapat di-rollback pada test environment; jangan melakukan clear cache atau processing hanya untuk assessment tanpa window yang disetujui.</w:t>
      </w:r>
    </w:p>
    <w:p>
      <w:pPr>
        <w:pStyle w:val="ListParagraph"/>
      </w:pPr>
      <w:r>
        <w:t xml:space="preserve">5. Validasi kesetaraan hasil semantic, row reconciliation, metrik query, metrik processing, downstream output, dan kesiapan rollback.</w:t>
      </w:r>
    </w:p>
    <w:p>
      <w:pPr>
        <w:pStyle w:val="ListParagraph"/>
      </w:pPr>
      <w:r>
        <w:t xml:space="preserve">Target persentase atau durasi tidak ditetapkan sebelum tersedia baseline yang comparable dan business acceptance threshold yang disepakati.</w:t>
      </w:r>
    </w:p>
    <w:p>
      <w:pPr>
        <w:pStyle w:val="Heading1"/>
      </w:pPr>
      <w:r>
        <w:t xml:space="preserve">Validasi Before / After</w:t>
      </w:r>
    </w:p>
    <w:tbl>
      <w:tblPr>
        <w:tblW w:w="0" w:type="auto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blGrid>
        <w:gridCol w:w="1800"/>
        <w:gridCol w:w="2100"/>
        <w:gridCol w:w="2100"/>
        <w:gridCol w:w="3100"/>
      </w:tblGrid>
      <w:tr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Metrik</w:t>
            </w:r>
          </w:p>
        </w:tc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Sebelum</w:t>
            </w:r>
          </w:p>
        </w:tc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Sesudah</w:t>
            </w:r>
          </w:p>
        </w:tc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Kriteria penerimaan / guardrail</w:t>
            </w:r>
          </w:p>
        </w:tc>
      </w:tr>
      <w:tr>
        <w:tc>
          <w:tcPr>
            <w:tcW w:w="2200" w:type="dxa"/>
          </w:tcPr>
          <w:p>
            <w:r>
              <w:t xml:space="preserve">Total query / P50 / P95 / P99</w:t>
            </w:r>
          </w:p>
        </w:tc>
        <w:tc>
          <w:tcPr>
            <w:tcW w:w="2200" w:type="dxa"/>
          </w:tcPr>
          <w:p>
            <w:r>
              <w:t xml:space="preserve">[isi hasil baseline]</w:t>
            </w:r>
          </w:p>
        </w:tc>
        <w:tc>
          <w:tcPr>
            <w:tcW w:w="2200" w:type="dxa"/>
          </w:tcPr>
          <w:p>
            <w:r>
              <w:t xml:space="preserve">[isi setelah tuning]</w:t>
            </w:r>
          </w:p>
        </w:tc>
        <w:tc>
          <w:tcPr>
            <w:tcW w:w="2200" w:type="dxa"/>
          </w:tcPr>
          <w:p>
            <w:r>
              <w:t xml:space="preserve">Query, filter, cache mode, dan workload window harus comparable</w:t>
            </w:r>
          </w:p>
        </w:tc>
      </w:tr>
      <w:tr>
        <w:tc>
          <w:tcPr>
            <w:tcW w:w="2200" w:type="dxa"/>
          </w:tcPr>
          <w:p>
            <w:r>
              <w:t xml:space="preserve">FE / SE / SE query count</w:t>
            </w:r>
          </w:p>
        </w:tc>
        <w:tc>
          <w:tcPr>
            <w:tcW w:w="2200" w:type="dxa"/>
          </w:tcPr>
          <w:p>
            <w:r>
              <w:t xml:space="preserve">[isi Server Timings]</w:t>
            </w:r>
          </w:p>
        </w:tc>
        <w:tc>
          <w:tcPr>
            <w:tcW w:w="2200" w:type="dxa"/>
          </w:tcPr>
          <w:p>
            <w:r>
              <w:t xml:space="preserve">[isi setelah tuning]</w:t>
            </w:r>
          </w:p>
        </w:tc>
        <w:tc>
          <w:tcPr>
            <w:tcW w:w="2200" w:type="dxa"/>
          </w:tcPr>
          <w:p>
            <w:r>
              <w:t xml:space="preserve">Hotspot terukur membaik dan tidak ada regresi material</w:t>
            </w:r>
          </w:p>
        </w:tc>
      </w:tr>
      <w:tr>
        <w:tc>
          <w:tcPr>
            <w:tcW w:w="2200" w:type="dxa"/>
          </w:tcPr>
          <w:p>
            <w:r>
              <w:t xml:space="preserve">Refresh / processing</w:t>
            </w:r>
          </w:p>
        </w:tc>
        <w:tc>
          <w:tcPr>
            <w:tcW w:w="2200" w:type="dxa"/>
          </w:tcPr>
          <w:p>
            <w:r>
              <w:t xml:space="preserve">[median 2-3 normal run]</w:t>
            </w:r>
          </w:p>
        </w:tc>
        <w:tc>
          <w:tcPr>
            <w:tcW w:w="2200" w:type="dxa"/>
          </w:tcPr>
          <w:p>
            <w:r>
              <w:t xml:space="preserve">[median 2-3 run yang comparable]</w:t>
            </w:r>
          </w:p>
        </w:tc>
        <w:tc>
          <w:tcPr>
            <w:tcW w:w="2200" w:type="dxa"/>
          </w:tcPr>
          <w:p>
            <w:r>
              <w:t xml:space="preserve">Durasi/scope membaik; status dan retry tidak memburuk</w:t>
            </w:r>
          </w:p>
        </w:tc>
      </w:tr>
      <w:tr>
        <w:tc>
          <w:tcPr>
            <w:tcW w:w="2200" w:type="dxa"/>
          </w:tcPr>
          <w:p>
            <w:r>
              <w:t xml:space="preserve">Baris / hasil semantic</w:t>
            </w:r>
          </w:p>
        </w:tc>
        <w:tc>
          <w:tcPr>
            <w:tcW w:w="2200" w:type="dxa"/>
          </w:tcPr>
          <w:p>
            <w:r>
              <w:t xml:space="preserve">[baseline]</w:t>
            </w:r>
          </w:p>
        </w:tc>
        <w:tc>
          <w:tcPr>
            <w:tcW w:w="2200" w:type="dxa"/>
          </w:tcPr>
          <w:p>
            <w:r>
              <w:t xml:space="preserve">[sesudah]</w:t>
            </w:r>
          </w:p>
        </w:tc>
        <w:tc>
          <w:tcPr>
            <w:tcW w:w="2200" w:type="dxa"/>
          </w:tcPr>
          <w:p>
            <w:r>
              <w:t xml:space="preserve">Row reconciliation dan nilai bisnis tetap sama</w:t>
            </w:r>
          </w:p>
        </w:tc>
      </w:tr>
      <w:tr>
        <w:tc>
          <w:tcPr>
            <w:tcW w:w="2200" w:type="dxa"/>
          </w:tcPr>
          <w:p>
            <w:r>
              <w:t xml:space="preserve">Keputusan</w:t>
            </w:r>
          </w:p>
        </w:tc>
        <w:tc>
          <w:tcPr>
            <w:tcW w:w="2200" w:type="dxa"/>
          </w:tcPr>
          <w:p>
            <w:r>
              <w:t xml:space="preserve">-</w:t>
            </w:r>
          </w:p>
        </w:tc>
        <w:tc>
          <w:tcPr>
            <w:tcW w:w="2200" w:type="dxa"/>
          </w:tcPr>
          <w:p>
            <w:r>
              <w:t xml:space="preserve">[PROMOTE / REVISE / ROLLBACK]</w:t>
            </w:r>
          </w:p>
        </w:tc>
        <w:tc>
          <w:tcPr>
            <w:tcW w:w="2200" w:type="dxa"/>
          </w:tcPr>
          <w:p>
            <w:r>
              <w:t xml:space="preserve">Lakukan rollback jika correctness berubah atau target yang disepakati tidak tercapai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UI">
    <w:altName w:val="Segoe U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3Font_13">
    <w:altName w:val="Yu Gothic"/>
    <w:panose1 w:val="00000000000000000000"/>
    <w:charset w:val="80"/>
    <w:family w:val="swiss"/>
    <w:notTrueType/>
    <w:pitch w:val="default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25FE9"/>
    <w:multiLevelType w:val="hybridMultilevel"/>
    <w:tmpl w:val="58A06D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1869B7"/>
    <w:multiLevelType w:val="hybridMultilevel"/>
    <w:tmpl w:val="3C422FA8"/>
    <w:lvl w:ilvl="0" w:tplc="0FDCB60A">
      <w:start w:val="1"/>
      <w:numFmt w:val="decimalZero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4F43E7"/>
    <w:multiLevelType w:val="hybridMultilevel"/>
    <w:tmpl w:val="18340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AC2DFE"/>
    <w:multiLevelType w:val="hybridMultilevel"/>
    <w:tmpl w:val="DA5445D4"/>
    <w:lvl w:ilvl="0" w:tplc="189A489C">
      <w:numFmt w:val="bullet"/>
      <w:lvlText w:val="-"/>
      <w:lvlJc w:val="left"/>
      <w:pPr>
        <w:ind w:left="720" w:hanging="360"/>
      </w:pPr>
      <w:rPr>
        <w:rFonts w:ascii="SegoeUI" w:eastAsia="T3Font_13" w:hAnsi="SegoeUI" w:cs="Segoe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41798D"/>
    <w:multiLevelType w:val="hybridMultilevel"/>
    <w:tmpl w:val="280002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52243D"/>
    <w:multiLevelType w:val="hybridMultilevel"/>
    <w:tmpl w:val="94C02F5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4444517">
    <w:abstractNumId w:val="1"/>
  </w:num>
  <w:num w:numId="2" w16cid:durableId="1857693876">
    <w:abstractNumId w:val="4"/>
  </w:num>
  <w:num w:numId="3" w16cid:durableId="2095741260">
    <w:abstractNumId w:val="2"/>
  </w:num>
  <w:num w:numId="4" w16cid:durableId="805926114">
    <w:abstractNumId w:val="0"/>
  </w:num>
  <w:num w:numId="5" w16cid:durableId="1945989275">
    <w:abstractNumId w:val="5"/>
  </w:num>
  <w:num w:numId="6" w16cid:durableId="18591512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D8D"/>
    <w:rsid w:val="000F0CD0"/>
    <w:rsid w:val="00100162"/>
    <w:rsid w:val="001312EE"/>
    <w:rsid w:val="00200C8C"/>
    <w:rsid w:val="002917CF"/>
    <w:rsid w:val="002E26E2"/>
    <w:rsid w:val="00331A91"/>
    <w:rsid w:val="004D128C"/>
    <w:rsid w:val="00690A23"/>
    <w:rsid w:val="0087268C"/>
    <w:rsid w:val="00B25CAE"/>
    <w:rsid w:val="00BD7BA8"/>
    <w:rsid w:val="00C404BB"/>
    <w:rsid w:val="00D468D2"/>
    <w:rsid w:val="00E11D7C"/>
    <w:rsid w:val="00F23D8D"/>
    <w:rsid w:val="00FA50DA"/>
    <w:rsid w:val="00FF0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6352D"/>
  <w15:chartTrackingRefBased/>
  <w15:docId w15:val="{2AFB28A7-8629-448B-847B-0EF1BAA1A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16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4472C4" w:themeColor="accent1"/>
      <w:sz w:val="24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1A91"/>
    <w:pPr>
      <w:ind w:left="720"/>
      <w:contextualSpacing/>
    </w:pPr>
  </w:style>
  <w:style w:type="table" w:styleId="TableGrid">
    <w:name w:val="Table Grid"/>
    <w:basedOn w:val="TableNormal"/>
    <w:uiPriority w:val="39"/>
    <w:rsid w:val="00331A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0162"/>
    <w:rPr>
      <w:rFonts w:asciiTheme="majorHAnsi" w:eastAsiaTheme="majorEastAsia" w:hAnsiTheme="majorHAnsi" w:cstheme="majorBidi"/>
      <w:b/>
      <w:color w:val="4472C4" w:themeColor="accent1"/>
      <w:sz w:val="24"/>
      <w:szCs w:val="32"/>
    </w:rPr>
  </w:style>
  <w:style w:type="paragraph" w:styleId="NoSpacing">
    <w:name w:val="No Spacing"/>
    <w:uiPriority w:val="1"/>
    <w:qFormat/>
    <w:rsid w:val="00C404B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2</Pages>
  <Words>378</Words>
  <Characters>2159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SSAS Finding-020-Selling Expenses</dc:title>
  <dc:subject>Assessment performa SSAS berbasis evidence</dc:subject>
  <dc:creator>SSAS Assessment</dc:creator>
  <cp:lastModifiedBy>SSAS Assessment</cp:lastModifiedBy>
  <cp:revision>1</cp:revision>
  <dcterms:created xsi:type="dcterms:W3CDTF">2026-09-17T04:16:16Z</dcterms:created>
  <dcterms:modified xsi:type="dcterms:W3CDTF">2026-09-17T04:16:16Z</dcterms:modified>
</cp:coreProperties>
</file>