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SSAS-023-Gapoktan</w:t>
      </w:r>
    </w:p>
    <w:p>
      <w:pPr>
        <w:pStyle w:val="NoSpacing"/>
      </w:pPr>
      <w:r>
        <w:t xml:space="preserve">Storage, 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023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Gapoktan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F-042, F-043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48/100 -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2 tabel; 44 kolom; 2 measure;  relationship; 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F-042 - Storage: </w:t>
      </w:r>
      <w:r>
        <w:t xml:space="preserve">[OBSERVED (teramati langsung); confidence TINGGI] Skor storage relatif terhadap fleet 88; USED_SIZE 27.328 MB, dictionary 94.434 MB, jumlah baris maksimum yang tercatat pada storage table 2,216,989.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F-043 - Partisi: </w:t>
      </w:r>
      <w:r>
        <w:t xml:space="preserve">[INFERRED (disimpulkan dari evidence); confidence SEDANG] Struktur storage terbesar memiliki 2,216,989 baris, sedangkan metadata menunjukkan 2 partisi untuk 2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Finding-023-Gapoktan</dc:title>
  <dc:subject>Assessment performa SSAS berbasis evidence</dc:subject>
  <dc:creator>SSAS Assessment</dc:creator>
  <cp:lastModifiedBy>SSAS Assessment</cp:lastModifiedBy>
  <cp:revision>1</cp:revision>
  <dcterms:created xsi:type="dcterms:W3CDTF">2026-09-17T04:16:16Z</dcterms:created>
  <dcterms:modified xsi:type="dcterms:W3CDTF">2026-09-17T04:16:16Z</dcterms:modified>
</cp:coreProperties>
</file>