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SSAS-026-Laporan Gaji Sparta</w:t>
      </w:r>
    </w:p>
    <w:p>
      <w:pPr>
        <w:pStyle w:val="NoSpacing"/>
      </w:pPr>
      <w:r>
        <w:t xml:space="preserve">Partisi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026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Laporan Gaji Sparta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F-047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38/100 -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3 tabel; 35 kolom;  measure; 2 relationship; 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F-047 - Partisi: </w:t>
      </w:r>
      <w:r>
        <w:t xml:space="preserve">[INFERRED (disimpulkan dari evidence); confidence SEDANG] Struktur storage terbesar memiliki 1,504,668 baris, sedangkan metadata menunjukkan 3 partisi untuk 3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Finding-026-Laporan Gaji Sparta</dc:title>
  <dc:subject>Assessment performa SSAS berbasis evidence</dc:subject>
  <dc:creator>SSAS Assessment</dc:creator>
  <cp:lastModifiedBy>SSAS Assessment</cp:lastModifiedBy>
  <cp:revision>1</cp:revision>
  <dcterms:created xsi:type="dcterms:W3CDTF">2026-09-17T04:16:17Z</dcterms:created>
  <dcterms:modified xsi:type="dcterms:W3CDTF">2026-09-17T04:16:17Z</dcterms:modified>
</cp:coreProperties>
</file>