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1092" w14:textId="77777777" w:rsidR="00B25CAE" w:rsidRPr="00B25CAE" w:rsidRDefault="002E26E2" w:rsidP="00B25CAE">
      <w:pPr>
        <w:pStyle w:val="NoSpacing"/>
        <w:jc w:val="center"/>
        <w:rPr>
          <w:b/>
          <w:sz w:val="32"/>
        </w:rPr>
      </w:pPr>
      <w:r w:rsidRPr="00B25CAE">
        <w:rPr>
          <w:b/>
          <w:sz w:val="32"/>
        </w:rPr>
        <w:t>001-PS_AS.dtsx</w:t>
      </w:r>
    </w:p>
    <w:p w14:paraId="6AC9D738" w14:textId="2E2A80FD" w:rsidR="002E26E2" w:rsidRPr="00B25CAE" w:rsidRDefault="002E26E2" w:rsidP="00B25CAE">
      <w:pPr>
        <w:pStyle w:val="NoSpacing"/>
        <w:jc w:val="center"/>
        <w:rPr>
          <w:b/>
          <w:sz w:val="32"/>
        </w:rPr>
      </w:pPr>
      <w:r w:rsidRPr="00B25CAE">
        <w:rPr>
          <w:b/>
          <w:sz w:val="32"/>
        </w:rPr>
        <w:t>Investor Relations</w:t>
      </w:r>
    </w:p>
    <w:p w14:paraId="4E537551" w14:textId="77777777" w:rsidR="002E26E2" w:rsidRPr="002E26E2" w:rsidRDefault="002E26E2" w:rsidP="002E26E2">
      <w:pPr>
        <w:jc w:val="cent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7372"/>
      </w:tblGrid>
      <w:tr w:rsidR="00331A91" w:rsidRPr="00331A91" w14:paraId="5EA6580E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4DEA02CD" w14:textId="3E89553F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No</w:t>
            </w:r>
          </w:p>
        </w:tc>
        <w:tc>
          <w:tcPr>
            <w:tcW w:w="7465" w:type="dxa"/>
          </w:tcPr>
          <w:p w14:paraId="257A4499" w14:textId="279225EB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001</w:t>
            </w:r>
          </w:p>
        </w:tc>
      </w:tr>
      <w:tr w:rsidR="00331A91" w:rsidRPr="00331A91" w14:paraId="752A2500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2E8CECF3" w14:textId="224ABA26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Package</w:t>
            </w:r>
          </w:p>
        </w:tc>
        <w:tc>
          <w:tcPr>
            <w:tcW w:w="7465" w:type="dxa"/>
          </w:tcPr>
          <w:p w14:paraId="6F6AF446" w14:textId="192231C7" w:rsidR="00331A91" w:rsidRPr="002917CF" w:rsidRDefault="002917CF" w:rsidP="00331A91">
            <w:pPr>
              <w:rPr>
                <w:rFonts w:cstheme="minorHAnsi"/>
                <w:b/>
                <w:color w:val="24292E"/>
                <w:sz w:val="18"/>
                <w:szCs w:val="18"/>
              </w:rPr>
            </w:pPr>
            <w:r w:rsidRPr="002917CF">
              <w:rPr>
                <w:rFonts w:cstheme="minorHAnsi"/>
                <w:b/>
                <w:color w:val="24292E"/>
                <w:sz w:val="18"/>
                <w:szCs w:val="18"/>
              </w:rPr>
              <w:t>PS_AS.dtsx</w:t>
            </w:r>
          </w:p>
        </w:tc>
      </w:tr>
      <w:tr w:rsidR="002917CF" w:rsidRPr="00331A91" w14:paraId="36C4AC66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70E35FC8" w14:textId="1202A93D" w:rsidR="002917CF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Module</w:t>
            </w:r>
          </w:p>
        </w:tc>
        <w:tc>
          <w:tcPr>
            <w:tcW w:w="7465" w:type="dxa"/>
          </w:tcPr>
          <w:p w14:paraId="5DDE5DE3" w14:textId="45577D75" w:rsidR="002917CF" w:rsidRPr="002917CF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 w:rsidRPr="002917CF">
              <w:rPr>
                <w:rFonts w:cstheme="minorHAnsi"/>
                <w:color w:val="24292E"/>
                <w:sz w:val="18"/>
                <w:szCs w:val="18"/>
              </w:rPr>
              <w:t>Investor Relations</w:t>
            </w:r>
          </w:p>
        </w:tc>
      </w:tr>
      <w:tr w:rsidR="00331A91" w:rsidRPr="00331A91" w14:paraId="74CC2791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6FF2B32B" w14:textId="4EDDAA9C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>
              <w:rPr>
                <w:rFonts w:cstheme="minorHAnsi"/>
                <w:color w:val="24292E"/>
                <w:sz w:val="18"/>
                <w:szCs w:val="18"/>
              </w:rPr>
              <w:t>Duration</w:t>
            </w:r>
          </w:p>
        </w:tc>
        <w:tc>
          <w:tcPr>
            <w:tcW w:w="7465" w:type="dxa"/>
          </w:tcPr>
          <w:p w14:paraId="4CD07959" w14:textId="4C2C25F2" w:rsidR="00331A91" w:rsidRPr="00331A91" w:rsidRDefault="002917CF" w:rsidP="00331A91">
            <w:pPr>
              <w:rPr>
                <w:rFonts w:cstheme="minorHAnsi"/>
                <w:color w:val="24292E"/>
                <w:sz w:val="18"/>
                <w:szCs w:val="18"/>
              </w:rPr>
            </w:pPr>
            <w:r w:rsidRPr="002917CF">
              <w:rPr>
                <w:rFonts w:cstheme="minorHAnsi"/>
                <w:color w:val="24292E"/>
                <w:sz w:val="18"/>
                <w:szCs w:val="18"/>
              </w:rPr>
              <w:t>79 Menit</w:t>
            </w:r>
          </w:p>
        </w:tc>
      </w:tr>
      <w:tr w:rsidR="00331A91" w:rsidRPr="00331A91" w14:paraId="33E62971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38545479" w14:textId="21B2B482" w:rsidR="00331A91" w:rsidRPr="00331A91" w:rsidRDefault="00331A91" w:rsidP="00331A91">
            <w:pPr>
              <w:rPr>
                <w:rFonts w:cstheme="minorHAnsi"/>
                <w:sz w:val="18"/>
                <w:szCs w:val="18"/>
              </w:rPr>
            </w:pPr>
            <w:r w:rsidRPr="00331A91">
              <w:rPr>
                <w:rFonts w:cstheme="minorHAnsi"/>
                <w:color w:val="24292E"/>
                <w:sz w:val="18"/>
                <w:szCs w:val="18"/>
              </w:rPr>
              <w:t>Lokasi File</w:t>
            </w:r>
          </w:p>
        </w:tc>
        <w:tc>
          <w:tcPr>
            <w:tcW w:w="7465" w:type="dxa"/>
          </w:tcPr>
          <w:p w14:paraId="16396BB8" w14:textId="1B1358BA" w:rsidR="00331A91" w:rsidRPr="00331A91" w:rsidRDefault="002917CF" w:rsidP="00331A91">
            <w:pPr>
              <w:rPr>
                <w:rFonts w:cstheme="minorHAnsi"/>
                <w:sz w:val="18"/>
                <w:szCs w:val="18"/>
              </w:rPr>
            </w:pPr>
            <w:r w:rsidRPr="002917CF">
              <w:rPr>
                <w:rFonts w:cstheme="minorHAnsi"/>
                <w:color w:val="24292E"/>
                <w:sz w:val="18"/>
                <w:szCs w:val="18"/>
              </w:rPr>
              <w:t>PROJECT_FACT\INVESTOR_RELATIONS_PROJECT\INVESTOR_RELATIONS_PROJECT\PS_AS.dtsx</w:t>
            </w:r>
          </w:p>
        </w:tc>
      </w:tr>
      <w:tr w:rsidR="00331A91" w:rsidRPr="00331A91" w14:paraId="76CF415A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1FD0A55A" w14:textId="285C5EB8" w:rsidR="00331A91" w:rsidRPr="00331A91" w:rsidRDefault="00331A91" w:rsidP="00331A91">
            <w:pPr>
              <w:rPr>
                <w:rFonts w:cstheme="minorHAnsi"/>
                <w:sz w:val="18"/>
                <w:szCs w:val="18"/>
              </w:rPr>
            </w:pPr>
            <w:r w:rsidRPr="00331A91">
              <w:rPr>
                <w:rFonts w:cstheme="minorHAnsi"/>
                <w:sz w:val="18"/>
                <w:szCs w:val="18"/>
              </w:rPr>
              <w:t>Tipe Pipeline</w:t>
            </w:r>
          </w:p>
        </w:tc>
        <w:tc>
          <w:tcPr>
            <w:tcW w:w="7465" w:type="dxa"/>
          </w:tcPr>
          <w:p w14:paraId="2264243F" w14:textId="4DBDEB7E" w:rsidR="00331A91" w:rsidRPr="00331A91" w:rsidRDefault="002917CF" w:rsidP="00331A91">
            <w:pPr>
              <w:rPr>
                <w:rFonts w:cstheme="minorHAnsi"/>
                <w:sz w:val="18"/>
                <w:szCs w:val="18"/>
              </w:rPr>
            </w:pPr>
            <w:r w:rsidRPr="002917CF">
              <w:rPr>
                <w:rFonts w:cstheme="minorHAnsi"/>
                <w:sz w:val="18"/>
                <w:szCs w:val="18"/>
              </w:rPr>
              <w:t>Production Statement &amp; Areal Statement Fact Loader</w:t>
            </w:r>
          </w:p>
        </w:tc>
      </w:tr>
      <w:tr w:rsidR="00331A91" w:rsidRPr="00331A91" w14:paraId="68B4557D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080B09F1" w14:textId="37606563" w:rsidR="00331A91" w:rsidRPr="00331A91" w:rsidRDefault="00331A91" w:rsidP="00331A91">
            <w:pPr>
              <w:rPr>
                <w:rFonts w:cstheme="minorHAnsi"/>
                <w:sz w:val="18"/>
                <w:szCs w:val="18"/>
              </w:rPr>
            </w:pPr>
            <w:r w:rsidRPr="00331A91">
              <w:rPr>
                <w:rFonts w:cstheme="minorHAnsi"/>
                <w:sz w:val="18"/>
                <w:szCs w:val="18"/>
              </w:rPr>
              <w:t>Kategori Masalah</w:t>
            </w:r>
          </w:p>
        </w:tc>
        <w:tc>
          <w:tcPr>
            <w:tcW w:w="7465" w:type="dxa"/>
          </w:tcPr>
          <w:p w14:paraId="740C547B" w14:textId="1811DE35" w:rsidR="00BD7BA8" w:rsidRDefault="002917CF" w:rsidP="002917CF">
            <w:pPr>
              <w:rPr>
                <w:rFonts w:cstheme="minorHAnsi"/>
                <w:sz w:val="18"/>
                <w:szCs w:val="18"/>
              </w:rPr>
            </w:pPr>
            <w:r w:rsidRPr="002917CF">
              <w:rPr>
                <w:rFonts w:cstheme="minorHAnsi"/>
                <w:sz w:val="18"/>
                <w:szCs w:val="18"/>
              </w:rPr>
              <w:t>Extreme Cartesian CROSS JOIN CTEs</w:t>
            </w:r>
          </w:p>
          <w:p w14:paraId="737918D8" w14:textId="77777777" w:rsidR="00BD7BA8" w:rsidRDefault="002917CF" w:rsidP="002917CF">
            <w:pPr>
              <w:rPr>
                <w:rFonts w:cstheme="minorHAnsi"/>
                <w:sz w:val="18"/>
                <w:szCs w:val="18"/>
              </w:rPr>
            </w:pPr>
            <w:r w:rsidRPr="002917CF">
              <w:rPr>
                <w:rFonts w:cstheme="minorHAnsi"/>
                <w:sz w:val="18"/>
                <w:szCs w:val="18"/>
              </w:rPr>
              <w:t>In-Memory UNPIVOT</w:t>
            </w:r>
          </w:p>
          <w:p w14:paraId="2137B15E" w14:textId="77777777" w:rsidR="00BD7BA8" w:rsidRDefault="002917CF" w:rsidP="002917CF">
            <w:pPr>
              <w:rPr>
                <w:rFonts w:cstheme="minorHAnsi"/>
                <w:sz w:val="18"/>
                <w:szCs w:val="18"/>
              </w:rPr>
            </w:pPr>
            <w:r w:rsidRPr="002917CF">
              <w:rPr>
                <w:rFonts w:cstheme="minorHAnsi"/>
                <w:sz w:val="18"/>
                <w:szCs w:val="18"/>
              </w:rPr>
              <w:t>Expensive Window Functions</w:t>
            </w:r>
          </w:p>
          <w:p w14:paraId="2A8919ED" w14:textId="30A7676E" w:rsidR="00331A91" w:rsidRPr="00331A91" w:rsidRDefault="002917CF" w:rsidP="002917CF">
            <w:pPr>
              <w:rPr>
                <w:rFonts w:cstheme="minorHAnsi"/>
                <w:sz w:val="18"/>
                <w:szCs w:val="18"/>
              </w:rPr>
            </w:pPr>
            <w:r w:rsidRPr="002917CF">
              <w:rPr>
                <w:rFonts w:cstheme="minorHAnsi"/>
                <w:sz w:val="18"/>
                <w:szCs w:val="18"/>
              </w:rPr>
              <w:t>Multi-Level Temporary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2917CF">
              <w:rPr>
                <w:rFonts w:cstheme="minorHAnsi"/>
                <w:sz w:val="18"/>
                <w:szCs w:val="18"/>
              </w:rPr>
              <w:t>Recomputations</w:t>
            </w:r>
          </w:p>
        </w:tc>
      </w:tr>
      <w:tr w:rsidR="002917CF" w:rsidRPr="00331A91" w14:paraId="41A5695E" w14:textId="77777777" w:rsidTr="002917CF">
        <w:tc>
          <w:tcPr>
            <w:tcW w:w="1885" w:type="dxa"/>
            <w:shd w:val="clear" w:color="auto" w:fill="D9E2F3" w:themeFill="accent1" w:themeFillTint="33"/>
          </w:tcPr>
          <w:p w14:paraId="1BE46B72" w14:textId="7C320BD4" w:rsidR="002917CF" w:rsidRPr="00331A91" w:rsidRDefault="00FA50DA" w:rsidP="00331A9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Catatan</w:t>
            </w:r>
          </w:p>
        </w:tc>
        <w:tc>
          <w:tcPr>
            <w:tcW w:w="7465" w:type="dxa"/>
          </w:tcPr>
          <w:p w14:paraId="24FAB95A" w14:textId="77777777" w:rsidR="002917CF" w:rsidRPr="002917CF" w:rsidRDefault="002917CF" w:rsidP="002917CF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1F326106" w14:textId="77777777" w:rsidR="00331A91" w:rsidRDefault="00331A91" w:rsidP="00331A91"/>
    <w:p w14:paraId="408F0B3A" w14:textId="0A0E3D55" w:rsidR="00331A91" w:rsidRDefault="00100162" w:rsidP="00E11D7C">
      <w:pPr>
        <w:pStyle w:val="Heading1"/>
        <w:numPr>
          <w:ilvl w:val="0"/>
          <w:numId w:val="5"/>
        </w:numPr>
        <w:ind w:left="360"/>
      </w:pPr>
      <w:r>
        <w:t>Finding</w:t>
      </w:r>
    </w:p>
    <w:p w14:paraId="02137CD5" w14:textId="1F3B2555" w:rsidR="00331A91" w:rsidRDefault="00331A91"/>
    <w:p w14:paraId="18908E16" w14:textId="77777777" w:rsidR="00200C8C" w:rsidRDefault="00200C8C" w:rsidP="00200C8C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E"/>
        </w:rPr>
      </w:pPr>
      <w:r>
        <w:rPr>
          <w:rFonts w:ascii="SegoeUI" w:hAnsi="SegoeUI" w:cs="SegoeUI"/>
          <w:color w:val="24292E"/>
        </w:rPr>
        <w:t xml:space="preserve">Query pada sumber </w:t>
      </w:r>
      <w:r>
        <w:rPr>
          <w:rFonts w:ascii="Consolas" w:hAnsi="Consolas" w:cs="Consolas"/>
          <w:color w:val="24292E"/>
          <w:sz w:val="19"/>
          <w:szCs w:val="19"/>
        </w:rPr>
        <w:t xml:space="preserve">BUDGET_BGFIP_SUM </w:t>
      </w:r>
      <w:r>
        <w:rPr>
          <w:rFonts w:ascii="SegoeUI" w:hAnsi="SegoeUI" w:cs="SegoeUI"/>
          <w:color w:val="24292E"/>
        </w:rPr>
        <w:t xml:space="preserve">dan </w:t>
      </w:r>
      <w:r>
        <w:rPr>
          <w:rFonts w:ascii="Consolas" w:hAnsi="Consolas" w:cs="Consolas"/>
          <w:color w:val="24292E"/>
          <w:sz w:val="19"/>
          <w:szCs w:val="19"/>
        </w:rPr>
        <w:t xml:space="preserve">PRODUKSI_SPB_SUM </w:t>
      </w:r>
      <w:r>
        <w:rPr>
          <w:rFonts w:ascii="SegoeUI" w:hAnsi="SegoeUI" w:cs="SegoeUI"/>
          <w:color w:val="24292E"/>
        </w:rPr>
        <w:t>menggunakan rangkaian CTE raksasa:</w:t>
      </w:r>
    </w:p>
    <w:p w14:paraId="4578895D" w14:textId="712901EC" w:rsidR="00100162" w:rsidRDefault="00100162">
      <w:pPr>
        <w:rPr>
          <w:rFonts w:ascii="Consolas" w:hAnsi="Consolas" w:cs="Consolas"/>
          <w:color w:val="0077AB"/>
          <w:sz w:val="16"/>
          <w:szCs w:val="16"/>
        </w:rPr>
      </w:pPr>
    </w:p>
    <w:p w14:paraId="4D3BAB0D" w14:textId="3376572A" w:rsidR="00200C8C" w:rsidRDefault="00200C8C">
      <w:r w:rsidRPr="00200C8C">
        <w:rPr>
          <w:noProof/>
        </w:rPr>
        <w:drawing>
          <wp:inline distT="0" distB="0" distL="0" distR="0" wp14:anchorId="66B14856" wp14:editId="13E0D5CA">
            <wp:extent cx="5943600" cy="3406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D062" w14:textId="6277C79D" w:rsidR="00D468D2" w:rsidRDefault="00D468D2"/>
    <w:p w14:paraId="5D25B127" w14:textId="0C1C26D0" w:rsidR="00200C8C" w:rsidRDefault="00200C8C" w:rsidP="00200C8C">
      <w:pPr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18"/>
          <w:szCs w:val="18"/>
        </w:rPr>
      </w:pPr>
    </w:p>
    <w:p w14:paraId="2F09B8A7" w14:textId="77777777" w:rsidR="00E11D7C" w:rsidRPr="00E11D7C" w:rsidRDefault="00E11D7C" w:rsidP="00200C8C">
      <w:pPr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18"/>
          <w:szCs w:val="18"/>
        </w:rPr>
      </w:pPr>
    </w:p>
    <w:p w14:paraId="2E2784CF" w14:textId="03FE9FD5" w:rsidR="00200C8C" w:rsidRPr="00E11D7C" w:rsidRDefault="00200C8C" w:rsidP="00200C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20"/>
          <w:szCs w:val="20"/>
        </w:rPr>
      </w:pPr>
      <w:r w:rsidRPr="00E11D7C">
        <w:rPr>
          <w:rFonts w:eastAsia="T3Font_13" w:cstheme="minorHAnsi"/>
          <w:color w:val="24292E"/>
          <w:sz w:val="20"/>
          <w:szCs w:val="20"/>
        </w:rPr>
        <w:t>Perkalian Kartesian Jutaan Baris di Memory: CTE SCANNING melakukan CROSS JOIN antara Tanggal × Unit × Divisi × Inpls (2) × Tahun Tanam (&gt;25 tahun). Ini menghasilkan ratusan ribu hingga jutaan baris matriks kosong secara komputasional setiap kali query dieksekusi.</w:t>
      </w:r>
    </w:p>
    <w:p w14:paraId="5A464F92" w14:textId="77777777" w:rsidR="0087268C" w:rsidRPr="00E11D7C" w:rsidRDefault="0087268C" w:rsidP="0087268C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3Font_13" w:cstheme="minorHAnsi"/>
          <w:color w:val="24292E"/>
          <w:sz w:val="20"/>
          <w:szCs w:val="20"/>
        </w:rPr>
      </w:pPr>
    </w:p>
    <w:p w14:paraId="2A0A68D0" w14:textId="77777777" w:rsidR="00C404BB" w:rsidRPr="00D468D2" w:rsidRDefault="00200C8C" w:rsidP="00200C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egoeUI" w:eastAsia="T3Font_13" w:hAnsi="SegoeUI" w:cs="SegoeUI"/>
          <w:color w:val="24292E"/>
          <w:sz w:val="20"/>
          <w:szCs w:val="20"/>
        </w:rPr>
      </w:pPr>
      <w:r w:rsidRPr="00E11D7C">
        <w:rPr>
          <w:rFonts w:eastAsia="T3Font_13" w:cstheme="minorHAnsi"/>
          <w:color w:val="24292E"/>
          <w:sz w:val="20"/>
          <w:szCs w:val="20"/>
        </w:rPr>
        <w:lastRenderedPageBreak/>
        <w:t xml:space="preserve">Ketiadaan Materialisasi TempDB: Karena ditulis sebagai CTE (bukan tabel fisik/temp table), SQL Server tidak membuat indeks perantara. Saat melakukan LEFT JOIN dan WINDOW FUNCTION OVER (...) , SQL Server kehabisan RAM dan melakukan </w:t>
      </w:r>
      <w:r w:rsidRPr="00E11D7C">
        <w:rPr>
          <w:rFonts w:eastAsia="T3Font_13" w:cstheme="minorHAnsi"/>
          <w:i/>
          <w:iCs/>
          <w:color w:val="24292E"/>
          <w:sz w:val="20"/>
          <w:szCs w:val="20"/>
        </w:rPr>
        <w:t xml:space="preserve">spill-totempdb </w:t>
      </w:r>
      <w:r w:rsidRPr="00E11D7C">
        <w:rPr>
          <w:rFonts w:eastAsia="T3Font_13" w:cstheme="minorHAnsi"/>
          <w:color w:val="24292E"/>
          <w:sz w:val="20"/>
          <w:szCs w:val="20"/>
        </w:rPr>
        <w:t>secara masif, membakar utilitas CPU 100%.</w:t>
      </w:r>
    </w:p>
    <w:p w14:paraId="55AF11B0" w14:textId="77777777" w:rsidR="00D468D2" w:rsidRPr="00D468D2" w:rsidRDefault="00D468D2" w:rsidP="00D468D2">
      <w:pPr>
        <w:pStyle w:val="ListParagraph"/>
        <w:rPr>
          <w:rFonts w:ascii="SegoeUI" w:eastAsia="T3Font_13" w:hAnsi="SegoeUI" w:cs="SegoeUI"/>
          <w:color w:val="24292E"/>
          <w:sz w:val="20"/>
          <w:szCs w:val="20"/>
        </w:rPr>
      </w:pPr>
    </w:p>
    <w:p w14:paraId="15A60AA4" w14:textId="04DFC3CD" w:rsidR="00D468D2" w:rsidRPr="00D468D2" w:rsidRDefault="00D468D2" w:rsidP="00D468D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egoeUI" w:eastAsia="T3Font_13" w:hAnsi="SegoeUI" w:cs="SegoeUI"/>
          <w:color w:val="24292E"/>
          <w:sz w:val="20"/>
          <w:szCs w:val="20"/>
        </w:rPr>
      </w:pPr>
      <w:r>
        <w:rPr>
          <w:rFonts w:ascii="SegoeUI" w:eastAsia="T3Font_13" w:hAnsi="SegoeUI" w:cs="SegoeUI"/>
          <w:color w:val="24292E"/>
          <w:sz w:val="20"/>
          <w:szCs w:val="20"/>
        </w:rPr>
        <w:t>dsds</w:t>
      </w:r>
    </w:p>
    <w:p w14:paraId="6C63B2BA" w14:textId="2831B34B" w:rsidR="00C404BB" w:rsidRDefault="00D468D2" w:rsidP="00C404BB">
      <w:pPr>
        <w:pStyle w:val="ListParagraph"/>
      </w:pPr>
      <w:r>
        <w:rPr>
          <w:noProof/>
        </w:rPr>
        <w:drawing>
          <wp:inline distT="0" distB="0" distL="0" distR="0" wp14:anchorId="15B8153F" wp14:editId="036BA99C">
            <wp:extent cx="5731510" cy="2452370"/>
            <wp:effectExtent l="0" t="0" r="2540" b="5080"/>
            <wp:docPr id="144932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26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2E7A" w14:textId="77777777" w:rsidR="00C404BB" w:rsidRDefault="00C404BB" w:rsidP="00C404BB">
      <w:pPr>
        <w:autoSpaceDE w:val="0"/>
        <w:autoSpaceDN w:val="0"/>
        <w:adjustRightInd w:val="0"/>
        <w:spacing w:after="0" w:line="240" w:lineRule="auto"/>
      </w:pPr>
    </w:p>
    <w:p w14:paraId="3587C833" w14:textId="4536865E" w:rsidR="00100162" w:rsidRDefault="00100162" w:rsidP="00E11D7C">
      <w:pPr>
        <w:pStyle w:val="Heading1"/>
        <w:numPr>
          <w:ilvl w:val="0"/>
          <w:numId w:val="5"/>
        </w:numPr>
        <w:ind w:left="360"/>
      </w:pPr>
      <w:r>
        <w:t>Action Plan and Solution</w:t>
      </w:r>
    </w:p>
    <w:p w14:paraId="7571D2AF" w14:textId="2AAC802E" w:rsidR="00E11D7C" w:rsidRPr="00E11D7C" w:rsidRDefault="00E11D7C" w:rsidP="00E11D7C">
      <w:pPr>
        <w:rPr>
          <w:sz w:val="20"/>
          <w:szCs w:val="20"/>
        </w:rPr>
      </w:pPr>
    </w:p>
    <w:p w14:paraId="67DE58B6" w14:textId="106EDA1E" w:rsidR="00E11D7C" w:rsidRPr="00E11D7C" w:rsidRDefault="00E11D7C" w:rsidP="00E11D7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11D7C">
        <w:rPr>
          <w:sz w:val="20"/>
          <w:szCs w:val="20"/>
        </w:rPr>
        <w:t>Eliminasi Cartesian CROSS JOIN CTE:</w:t>
      </w:r>
    </w:p>
    <w:p w14:paraId="4D2E5E0B" w14:textId="46EB7883" w:rsidR="00E11D7C" w:rsidRDefault="00E11D7C" w:rsidP="00E11D7C">
      <w:pPr>
        <w:ind w:left="720"/>
        <w:rPr>
          <w:sz w:val="20"/>
          <w:szCs w:val="20"/>
        </w:rPr>
      </w:pPr>
      <w:r w:rsidRPr="00E11D7C">
        <w:rPr>
          <w:sz w:val="20"/>
          <w:szCs w:val="20"/>
        </w:rPr>
        <w:t>Ganti CTE perkalian kartesian dengan tabel referensi master kombinasi yang sudah dimaterialisasi atau lakukan query langsung berbasis transaksi aktual yang ada (Sparse Join alih-alih Dense Matrix Generation).</w:t>
      </w:r>
    </w:p>
    <w:p w14:paraId="527B0D49" w14:textId="77777777" w:rsidR="00FF057B" w:rsidRPr="00E11D7C" w:rsidRDefault="00FF057B" w:rsidP="00E11D7C">
      <w:pPr>
        <w:ind w:left="720"/>
        <w:rPr>
          <w:sz w:val="20"/>
          <w:szCs w:val="20"/>
        </w:rPr>
      </w:pPr>
    </w:p>
    <w:p w14:paraId="0D9C333B" w14:textId="1F2B66B3" w:rsidR="00E11D7C" w:rsidRPr="00E11D7C" w:rsidRDefault="00E11D7C" w:rsidP="00E11D7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11D7C">
        <w:rPr>
          <w:sz w:val="20"/>
          <w:szCs w:val="20"/>
        </w:rPr>
        <w:t>Materialisasi Menggunakan #Temp Table Berindeks via Stored Procedure:</w:t>
      </w:r>
    </w:p>
    <w:p w14:paraId="0B894665" w14:textId="011DE1A3" w:rsidR="00E11D7C" w:rsidRDefault="00E11D7C" w:rsidP="00E11D7C">
      <w:pPr>
        <w:ind w:left="720"/>
        <w:rPr>
          <w:sz w:val="20"/>
          <w:szCs w:val="20"/>
        </w:rPr>
      </w:pPr>
      <w:r w:rsidRPr="00E11D7C">
        <w:rPr>
          <w:sz w:val="20"/>
          <w:szCs w:val="20"/>
        </w:rPr>
        <w:t>Pisahkan proses UNPIVOT ke dalam #Temp_Budget dengan CLUSTERED INDEX (TAHUN, UNIT_CODE, DIV_CODE, BULAN) .</w:t>
      </w:r>
    </w:p>
    <w:p w14:paraId="7265D00D" w14:textId="77777777" w:rsidR="00FF057B" w:rsidRPr="00E11D7C" w:rsidRDefault="00FF057B" w:rsidP="00E11D7C">
      <w:pPr>
        <w:ind w:left="720"/>
        <w:rPr>
          <w:sz w:val="20"/>
          <w:szCs w:val="20"/>
        </w:rPr>
      </w:pPr>
    </w:p>
    <w:p w14:paraId="2C5E4119" w14:textId="30C3710C" w:rsidR="00E11D7C" w:rsidRPr="00E11D7C" w:rsidRDefault="00E11D7C" w:rsidP="00E11D7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11D7C">
        <w:rPr>
          <w:sz w:val="20"/>
          <w:szCs w:val="20"/>
        </w:rPr>
        <w:t>Pra-Kalkulasi SDBI (Cumulative Sum):</w:t>
      </w:r>
    </w:p>
    <w:p w14:paraId="36BE4140" w14:textId="36F41C99" w:rsidR="00E11D7C" w:rsidRPr="00E11D7C" w:rsidRDefault="00E11D7C" w:rsidP="00E11D7C">
      <w:pPr>
        <w:ind w:left="720"/>
        <w:rPr>
          <w:sz w:val="20"/>
          <w:szCs w:val="20"/>
        </w:rPr>
      </w:pPr>
      <w:r w:rsidRPr="00E11D7C">
        <w:rPr>
          <w:sz w:val="20"/>
          <w:szCs w:val="20"/>
        </w:rPr>
        <w:t>Pindahkan kalkulasi kumulatif bulanan (Year-to-Date / SDBI) ke batch proses SQL staging terpisah sebelum ditarik oleh SSIS.</w:t>
      </w:r>
    </w:p>
    <w:sectPr w:rsidR="00E11D7C" w:rsidRPr="00E11D7C" w:rsidSect="00C404B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100162"/>
    <w:rsid w:val="001312EE"/>
    <w:rsid w:val="00200C8C"/>
    <w:rsid w:val="002917CF"/>
    <w:rsid w:val="002E26E2"/>
    <w:rsid w:val="00331A91"/>
    <w:rsid w:val="004D128C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Ismail</cp:lastModifiedBy>
  <cp:revision>14</cp:revision>
  <dcterms:created xsi:type="dcterms:W3CDTF">2026-09-07T01:16:00Z</dcterms:created>
  <dcterms:modified xsi:type="dcterms:W3CDTF">2026-09-07T06:15:00Z</dcterms:modified>
</cp:coreProperties>
</file>