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1374"/>
        <w:gridCol w:w="1374"/>
        <w:gridCol w:w="1374"/>
        <w:gridCol w:w="1374"/>
        <w:gridCol w:w="1374"/>
      </w:tblGrid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Elme Communities - Capitalization Table</w:t>
            </w:r>
          </w:p>
        </w:tc>
      </w:tr>
      <w:tr>
        <w:tc>
          <w:tcPr>
            <w:tcW w:type="dxa" w:w="1745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Item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Amount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PPC Holdings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Coupon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Secured</w:t>
            </w:r>
          </w:p>
        </w:tc>
        <w:tc>
          <w:tcPr>
            <w:tcW w:type="dxa" w:w="1745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Maturity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/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Cash and Equivalents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7,093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Revolving Credit Facility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+ 80-150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2023 Term Loan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125,000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 + 95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2026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7.25%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2028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Senior Unsecured Notes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350,000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3.44%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2030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(Less: Unamortized Debt Issue Costs)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-1,804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698,196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Book Value of Equity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1,046,193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1,744,389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0470"/>
            <w:gridSpan w:val="6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i/>
                <w:sz w:val="16"/>
              </w:rPr>
              <w:t>Key Financial Ratios:</w:t>
            </w: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Adj Ebitda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Unencumbered Assets To Unsecured Debt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Value Of Re Assets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None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  <w:tr>
        <w:tc>
          <w:tcPr>
            <w:tcW w:type="dxa" w:w="1745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To Market Capitalization</w:t>
            </w:r>
          </w:p>
        </w:tc>
        <w:tc>
          <w:tcPr>
            <w:tcW w:type="dxa" w:w="1745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  <w:tc>
          <w:tcPr>
            <w:tcW w:type="dxa" w:w="1745"/>
          </w:tcPr>
          <w:p>
            <w:pPr>
              <w:jc w:val="center"/>
            </w:pPr>
          </w:p>
        </w:tc>
      </w:tr>
    </w:tbl>
    <w:p/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Elme Communities - Historical Financial Analysis</w:t>
            </w:r>
          </w:p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Fiscal Year Ended</w:t>
            </w:r>
          </w:p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1163"/>
            <w:tcBorders>
              <w:left w:val="nil"/>
              <w:right w:val="nil"/>
            </w:tcBorders>
            <w:shd w:fill="44546A"/>
          </w:tcPr>
          <w:p/>
        </w:tc>
        <w:tc>
          <w:tcPr>
            <w:tcW w:type="dxa" w:w="2326"/>
            <w:gridSpan w:val="2"/>
            <w:shd w:fill="44546A"/>
            <w:tcBorders>
              <w:left w:val="nil"/>
              <w:right w:val="nil"/>
              <w:left w:val="nil"/>
              <w:right w:val="nil"/>
            </w:tcBorders>
            <w:shd w:fill="44546A"/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YTD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LTM</w:t>
            </w:r>
          </w:p>
        </w:tc>
      </w:tr>
      <w:tr>
        <w:tc>
          <w:tcPr>
            <w:tcW w:type="dxa" w:w="1163"/>
            <w:shd w:fill="44546A"/>
            <w:tcBorders>
              <w:left w:val="single" w:sz="4" w:space="0" w:color="000000"/>
              <w:right w:val="nil"/>
            </w:tcBorders>
            <w:shd w:fill="44546A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Metric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2020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2021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2022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2023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2024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9/30/24</w:t>
            </w:r>
          </w:p>
        </w:tc>
        <w:tc>
          <w:tcPr>
            <w:tcW w:type="dxa" w:w="1163"/>
            <w:shd w:fill="44546A"/>
            <w:tcBorders>
              <w:left w:val="nil"/>
              <w:right w:val="nil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  <w:tc>
          <w:tcPr>
            <w:tcW w:type="dxa" w:w="1163"/>
            <w:shd w:fill="44546A"/>
            <w:tcBorders>
              <w:left w:val="nil"/>
              <w:right w:val="single" w:sz="4" w:space="0" w:color="000000"/>
            </w:tcBorders>
            <w:shd w:fill="44546A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6"/>
              </w:rPr>
              <w:t>9/30/25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Revenue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294,118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169,151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209,380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227,911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241,935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4,642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4,486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241,779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YoY Growth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Cost of Goods Sold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69,127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66,915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81,437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87,938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97,562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23,937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24,240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97,865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Gross Profit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224,991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102,236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127,943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139,973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144,373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(19,295)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(19,754)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143,914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(0.4%)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Operating Expenses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143,981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100,194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119,980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120,904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31,139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32,468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122,233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Adjustments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130,664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72,807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98,845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140,512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105,427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29,952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26,665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102,140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Adjusted EBITDA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152,883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68,214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97,122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117,449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128,896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35,799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31,450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124,547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b/>
                <w:i/>
                <w:sz w:val="16"/>
              </w:rPr>
              <w:t>% Margin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0.8%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0.7%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0.1%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Interest Expense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37,305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34,063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24,940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30,429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9,460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37,801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Taxes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Working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(387)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(4,669)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4,109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712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569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1,410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Capital Expenditures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58,317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32,459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38,256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38,626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47,602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6,313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5,559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46,848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Free Cash Flow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54,674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56,697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34,955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46,043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47,641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7,594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10,477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50,524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Acq. / Disp.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152,889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744,035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(204,433)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(107,595)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5,272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(5,272)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Change in Debt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Equity / Dividends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(96,959)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(88,984)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(58,333)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(63,838)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(63,636)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15,911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15,898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(63,649)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ind w:left="216"/>
            </w:pPr>
            <w:r>
              <w:rPr>
                <w:rFonts w:ascii="Calibri" w:hAnsi="Calibri"/>
                <w:i/>
                <w:sz w:val="16"/>
              </w:rPr>
              <w:t>Other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5,080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7,114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3,334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2,924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6,796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236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6,852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Change in Cash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Cash - End of Period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8,303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234,220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9,852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8,538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8,609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Total Debt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987,370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496,946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552,359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679,345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698,953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682,539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705,061</w:t>
            </w:r>
          </w:p>
        </w:tc>
      </w:tr>
      <w:tr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Book Equity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1,320,787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1,316,755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1,263,488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1,154,060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1,081,797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1,136,116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  <w:tc>
          <w:tcPr>
            <w:tcW w:type="dxa" w:w="1163"/>
            <w:tcBorders>
              <w:top w:val="single" w:sz="4" w:space="0" w:color="000000"/>
              <w:left w:val="nil"/>
              <w:right w:val="nil"/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1,062,922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 / Int. Exp.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rPr>
          <w:trHeight w:val="280"/>
        </w:trPr>
        <w:tc>
          <w:tcPr>
            <w:tcW w:type="dxa" w:w="2326"/>
            <w:gridSpan w:val="2"/>
            <w:vAlign w:val="center"/>
            <w:shd w:fill="D3D3D3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  <w:left w:val="single" w:sz="4" w:space="0" w:color="000000"/>
              <w:right w:val="nil"/>
              <w:left w:val="nil"/>
              <w:right w:val="nil"/>
            </w:tcBorders>
          </w:tcPr>
          <w:p>
            <w:pPr>
              <w:spacing w:before="0" w:after="0"/>
              <w:jc w:val="center"/>
            </w:pPr>
            <w:r/>
            <w:r>
              <w:rPr>
                <w:rFonts w:ascii="Calibri" w:hAnsi="Calibri"/>
                <w:b/>
                <w:i/>
                <w:color w:val="000000"/>
                <w:sz w:val="16"/>
              </w:rPr>
              <w:t>Key Financial Ratios: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nil"/>
            </w:tcBorders>
          </w:tcPr>
          <w:p/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/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EBITDA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Total Debt + Leases / Book Capital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EBITDAR / Interest + Rent</w:t>
            </w:r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  <w:tr>
        <w:tc>
          <w:tcPr>
            <w:tcW w:type="dxa" w:w="1163"/>
            <w:tcBorders>
              <w:left w:val="single" w:sz="4" w:space="0" w:color="000000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nil"/>
            </w:tcBorders>
          </w:tcPr>
          <w:p>
            <w:r/>
          </w:p>
        </w:tc>
        <w:tc>
          <w:tcPr>
            <w:tcW w:type="dxa" w:w="1163"/>
            <w:tcBorders>
              <w:left w:val="nil"/>
              <w:right w:val="single" w:sz="4" w:space="0" w:color="000000"/>
            </w:tcBorders>
          </w:tcPr>
          <w:p>
            <w:r/>
          </w:p>
        </w:tc>
      </w:tr>
    </w:tbl>
    <w:p>
      <w:r>
        <w:br/>
      </w:r>
    </w:p>
    <w:p>
      <w:pPr>
        <w:pStyle w:val="Heading2"/>
      </w:pPr>
      <w:r>
        <w:rPr>
          <w:rFonts w:ascii="Calibri" w:hAnsi="Calibri"/>
          <w:sz w:val="22"/>
        </w:rPr>
        <w:t>Income Statement</w:t>
      </w:r>
    </w:p>
    <w:p>
      <w:pPr>
        <w:pStyle w:val="ListBullet"/>
      </w:pPr>
      <w:r>
        <w:rPr>
          <w:rFonts w:ascii="Calibri" w:hAnsi="Calibri"/>
          <w:sz w:val="20"/>
        </w:rPr>
        <w:t>Investment income grew 6% in FY24, driven by strong market performance in the Washington, D.C. metro area due to favorable demand-supply dynamics (54% less construction since 3Q22) and limited availability of value-oriented housing. Same-store lease growth stood at 2.3% in FY24, with strong occupancy of 95%. Market tailwinds were offset by oversupply in the Atlanta housing market (expected to improve by FY26) and delinquency-related occupancy pressure (~2% of revenue in 4Q24 due to higher-than-expected delinquencies). These are being addressed via improved processes and eviction timelines.</w:t>
      </w:r>
    </w:p>
    <w:p>
      <w:pPr>
        <w:pStyle w:val="ListBullet"/>
      </w:pPr>
      <w:r>
        <w:rPr>
          <w:rFonts w:ascii="Calibri" w:hAnsi="Calibri"/>
          <w:sz w:val="20"/>
        </w:rPr>
        <w:t>In YTD period, Elme continued to see strong investment income growth of ~3%, driven by similar market dynamics. Despite high exposure to Washington, D.C., only 7.2% of jobs are non-DoD federal agency jobs, minimizing DOGE risk.</w:t>
      </w:r>
    </w:p>
    <w:p>
      <w:pPr>
        <w:pStyle w:val="ListBullet"/>
      </w:pPr>
      <w:r>
        <w:rPr>
          <w:rFonts w:ascii="Calibri" w:hAnsi="Calibri"/>
          <w:sz w:val="20"/>
        </w:rPr>
        <w:t>The Fund generated $118.0M EBITDA in FY24, with margins contracting 130bps due to higher utility and administrative costs. EBITDA margins declined 30bps in LTM period.</w:t>
      </w:r>
    </w:p>
    <w:p>
      <w:pPr>
        <w:pStyle w:val="Heading2"/>
      </w:pPr>
      <w:r>
        <w:rPr>
          <w:rFonts w:ascii="Calibri" w:hAnsi="Calibri"/>
          <w:sz w:val="22"/>
        </w:rPr>
        <w:t>Cash Flow Statement</w:t>
      </w:r>
    </w:p>
    <w:p>
      <w:pPr>
        <w:pStyle w:val="ListBullet"/>
      </w:pPr>
      <w:r>
        <w:rPr>
          <w:rFonts w:ascii="Calibri" w:hAnsi="Calibri"/>
          <w:sz w:val="20"/>
        </w:rPr>
        <w:t>Elme generated strong FCF of $47.6M in FY24 (~4% YoY growth), supported by topline growth and favorable changes in working capital, despite 24% higher capex.</w:t>
      </w:r>
    </w:p>
    <w:p>
      <w:pPr>
        <w:pStyle w:val="ListBullet"/>
      </w:pPr>
      <w:r>
        <w:rPr>
          <w:rFonts w:ascii="Calibri" w:hAnsi="Calibri"/>
          <w:sz w:val="20"/>
        </w:rPr>
        <w:t>Elme completed 500 full renovations in 2024 (17% ROI) and launched Phase 1 of Wi-Fi initiative (7 communities). In Q1, 88 property renovations were completed. Elme continues capex with focus on targeting growth communities.</w:t>
      </w:r>
    </w:p>
    <w:p>
      <w:pPr>
        <w:pStyle w:val="ListBullet"/>
      </w:pPr>
      <w:r>
        <w:rPr>
          <w:rFonts w:ascii="Calibri" w:hAnsi="Calibri"/>
          <w:sz w:val="20"/>
        </w:rPr>
        <w:t>No M&amp;A activity in FY24 or 1Q25.</w:t>
      </w:r>
    </w:p>
    <w:p>
      <w:pPr>
        <w:pStyle w:val="ListBullet"/>
      </w:pPr>
      <w:r>
        <w:rPr>
          <w:rFonts w:ascii="Calibri" w:hAnsi="Calibri"/>
          <w:sz w:val="20"/>
        </w:rPr>
        <w:t>Elme paid out $66.6M in dividends in FY24, consistent with past payouts.</w:t>
      </w:r>
    </w:p>
    <w:p>
      <w:pPr>
        <w:pStyle w:val="Heading2"/>
      </w:pPr>
      <w:r>
        <w:rPr>
          <w:rFonts w:ascii="Calibri" w:hAnsi="Calibri"/>
          <w:sz w:val="22"/>
        </w:rPr>
        <w:t>Balance Sheet</w:t>
      </w:r>
    </w:p>
    <w:p>
      <w:pPr>
        <w:pStyle w:val="ListBullet"/>
      </w:pPr>
      <w:r>
        <w:rPr>
          <w:rFonts w:ascii="Calibri" w:hAnsi="Calibri"/>
          <w:sz w:val="20"/>
        </w:rPr>
        <w:t>Elme maintains disciplined balance sheet with leverage of 5.9x and unencumbered portfolio.</w:t>
      </w:r>
    </w:p>
    <w:p>
      <w:pPr>
        <w:pStyle w:val="ListBullet"/>
      </w:pPr>
      <w:r>
        <w:rPr>
          <w:rFonts w:ascii="Calibri" w:hAnsi="Calibri"/>
          <w:sz w:val="20"/>
        </w:rPr>
        <w:t>Fund maintains a balanced maturity schedule and ample liquidity ($9.0M cash and $182.0M revolver availability as of April 29, 2025).</w:t>
      </w:r>
    </w:p>
    <w:p>
      <w:pPr>
        <w:pStyle w:val="ListBullet"/>
      </w:pPr>
      <w:r>
        <w:rPr>
          <w:rFonts w:ascii="Calibri" w:hAnsi="Calibri"/>
          <w:sz w:val="20"/>
        </w:rPr>
        <w:t>Ended 1Q25 with ample liquidity.</w:t>
      </w:r>
    </w:p>
    <w:p>
      <w:pPr>
        <w:pStyle w:val="ListBullet"/>
      </w:pPr>
      <w:r>
        <w:rPr>
          <w:rFonts w:ascii="Calibri" w:hAnsi="Calibri"/>
          <w:sz w:val="20"/>
        </w:rPr>
        <w:t>In 3Q24, downsized bank facility from $700M to $500M due to non-usage; $70M outstanding as of April 29, 2025.</w:t>
      </w:r>
    </w:p>
    <w:p/>
    <w:p>
      <w:pPr>
        <w:jc w:val="center"/>
      </w:pPr>
    </w:p>
    <w:p>
      <w:r>
        <w:br w:type="page"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05987558"/>
        <w:gridCol w:w="678789378"/>
        <w:gridCol w:w="678789378"/>
        <w:gridCol w:w="678789378"/>
        <w:gridCol w:w="678789378"/>
        <w:gridCol w:w="678789378"/>
        <w:gridCol w:w="678789378"/>
        <w:gridCol w:w="678789378"/>
        <w:gridCol w:w="678789378"/>
        <w:gridCol w:w="678789378"/>
        <w:gridCol w:w="678789378"/>
        <w:gridCol w:w="678789378"/>
      </w:tblGrid>
      <w:tr>
        <w:tc>
          <w:tcPr>
            <w:tcW w:type="dxa" w:w="10464"/>
            <w:gridSpan w:val="1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Elme Communities - Comparable Analysis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Company</w:t>
            </w:r>
          </w:p>
        </w:tc>
        <w:tc>
          <w:tcPr>
            <w:tcW w:type="dxa" w:w="872"/>
            <w:shd w:fill="D3D3D3"/>
          </w:tcPr>
          <w:p>
            <w:r>
              <w:t>Revenue</w:t>
              <w:br/>
              <w:t>(000s)</w:t>
            </w:r>
          </w:p>
        </w:tc>
        <w:tc>
          <w:tcPr>
            <w:tcW w:type="dxa" w:w="872"/>
            <w:shd w:fill="D3D3D3"/>
          </w:tcPr>
          <w:p>
            <w:r>
              <w:t>LTM EBITDA</w:t>
              <w:br/>
              <w:t>(000s)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EBITDA Margin 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EBITDAR / (Int + Rents)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 Debt + COL / EBITDAR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Net Debt + COL / EBITDAR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 Debt + COL / Total Cap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FCF + Rents / Total Debt + COL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3-Year Average Total Debt + COL / EBITDAR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3-Year Average Total Debt + COL / Total Cap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3-Year Average FCF + Rents / Total Debt + COL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Elme Communities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241779.0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80100.0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33.1%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Mid-America Apartment Communities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2197492.0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1339112.0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7.7x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Camden Property Trust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1559606.0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835758.0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53.6%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4.5x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0.1x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UDR, Inc.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3365816.0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1039545.0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30.9%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0.6x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0.4x</w:t>
            </w:r>
          </w:p>
        </w:tc>
      </w:tr>
      <w:tr>
        <w:tc>
          <w:tcPr>
            <w:tcW w:type="dxa" w:w="872"/>
          </w:tcPr>
          <w:p>
            <w:pPr>
              <w:jc w:val="left"/>
            </w:pPr>
            <w:r>
              <w:rPr>
                <w:rFonts w:ascii="Calibri" w:hAnsi="Calibri"/>
                <w:i/>
                <w:sz w:val="16"/>
              </w:rPr>
              <w:t>Independence Realty Trust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640406.0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255926.0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40.0%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3.4x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-0.2x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0.0x</w:t>
            </w:r>
          </w:p>
        </w:tc>
        <w:tc>
          <w:tcPr>
            <w:tcW w:type="dxa" w:w="872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-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Average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1601019.8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710088.2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43.7%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1.1x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  <w:tr>
        <w:tc>
          <w:tcPr>
            <w:tcW w:type="dxa" w:w="872"/>
            <w:shd w:fill="D3D3D3"/>
          </w:tcPr>
          <w:p>
            <w:pPr>
              <w:jc w:val="left"/>
            </w:pPr>
            <w:r>
              <w:rPr>
                <w:rFonts w:ascii="Calibri" w:hAnsi="Calibri"/>
                <w:b/>
                <w:sz w:val="16"/>
              </w:rPr>
              <w:t>Median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1559606.0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835758.0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40.0%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3.4x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-0.0x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0.3x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0.0x</w:t>
            </w:r>
          </w:p>
        </w:tc>
        <w:tc>
          <w:tcPr>
            <w:tcW w:type="dxa" w:w="872"/>
            <w:shd w:fill="D3D3D3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0.2x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9" w:h="16834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8"/>
      </w:rPr>
      <w:t xml:space="preserve">Page </w:t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5954" w:val="center"/>
        <w:tab w:pos="11909" w:val="right"/>
      </w:tabs>
    </w:pPr>
    <w:r/>
    <w:r>
      <w:rPr>
        <w:rFonts w:ascii="Calibri" w:hAnsi="Calibri"/>
        <w:b/>
        <w:sz w:val="24"/>
      </w:rPr>
      <w:t>PGIM Private Capital</w:t>
    </w:r>
    <w:r>
      <w:tab/>
    </w:r>
    <w:r>
      <w:rPr>
        <w:rFonts w:ascii="Calibri" w:hAnsi="Calibri"/>
        <w:b/>
        <w:sz w:val="24"/>
      </w:rPr>
      <w:t>Annual Quality Rating Review</w:t>
    </w:r>
    <w:r>
      <w:tab/>
    </w:r>
    <w:r>
      <w:rPr>
        <w:rFonts w:ascii="Calibri" w:hAnsi="Calibri"/>
        <w:b/>
        <w:sz w:val="24"/>
      </w:rPr>
      <w:t>09/23/2025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