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57"/>
        <w:gridCol w:w="1728"/>
        <w:gridCol w:w="1757"/>
        <w:gridCol w:w="1728"/>
        <w:gridCol w:w="1757"/>
      </w:tblGrid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Credit Exposure Name: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STAG Industrial, Inc.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Public / Private: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Servicing Category: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iRisk Parent Name: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STAG INDUSTRIAL, INC.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Headquarters: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PruScore: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Industry: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Region: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NAIC Designation: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Real Assets Category: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MD: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S&amp;P / M / Fitch: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Stat. Country: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Team Leader: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Other Ratings: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Economic Risk Country: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Secondary: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Unqualified Audit: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Valuation Country: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Analyst: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/>
          </w:p>
        </w:tc>
      </w:tr>
    </w:tbl>
    <w:p/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234"/>
        <w:gridCol w:w="5234"/>
      </w:tblGrid>
      <w:tr>
        <w:tc>
          <w:tcPr>
            <w:tcW w:type="dxa" w:w="5234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Key Credit Merits</w:t>
            </w:r>
          </w:p>
        </w:tc>
        <w:tc>
          <w:tcPr>
            <w:tcW w:type="dxa" w:w="5234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Key Credit Risks</w:t>
            </w:r>
          </w:p>
        </w:tc>
      </w:tr>
      <w:tr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Diversified national industrial portfolio</w:t>
            </w:r>
          </w:p>
        </w:tc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Rising interest rate exposure</w:t>
            </w:r>
          </w:p>
        </w:tc>
      </w:tr>
      <w:tr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Well-laddered, mostly unsecured debt</w:t>
            </w:r>
          </w:p>
        </w:tc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Tenant credit/default risk</w:t>
            </w:r>
          </w:p>
        </w:tc>
      </w:tr>
      <w:tr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High occupancy, granular tenant base</w:t>
            </w:r>
          </w:p>
        </w:tc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Refinancing and capital market access</w:t>
            </w:r>
          </w:p>
        </w:tc>
      </w:tr>
    </w:tbl>
    <w:p/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1374"/>
        <w:gridCol w:w="1374"/>
        <w:gridCol w:w="1374"/>
        <w:gridCol w:w="1374"/>
        <w:gridCol w:w="1374"/>
      </w:tblGrid>
      <w:tr>
        <w:tc>
          <w:tcPr>
            <w:tcW w:type="dxa" w:w="10470"/>
            <w:gridSpan w:val="6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28"/>
              </w:rPr>
              <w:t>STAG Industrial, Inc. - Capitalization Table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Item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Amount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PPC Holdings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Coupon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Secured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Maturity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Cash and Equivalents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15,879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Revolving Credit Facility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51,000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 + 87.5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2029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Unsecured Term Loan G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1.80%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2026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Unsecured Term Loan A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2.16%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2027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Unsecured Term Loan H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187,500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3.35%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2028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Unsecured Term Loan I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187,500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3.51%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2028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Unsecured Term Loan F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4.83%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2029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Series B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4.98%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2026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Series C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4.42%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2026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Series E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4.42%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2027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Series H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4.27%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2028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Series L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175,000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6.05%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2029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Series O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5.50%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2030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Series M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125,000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6.17%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2031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Series I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275,000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2.80%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2031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Series K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400,000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4.12%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2032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Series P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5.82%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2033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Series J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2.95%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2033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Series N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6.30%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2034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Series Q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5.99%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2035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United of Omaha Life Insurance Company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4,212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3.71%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2039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(Less: Debt Issuance Costs)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-11,187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3,055,212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Book Value of Equity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3,444,877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Capitalization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6,500,089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10470"/>
            <w:gridSpan w:val="6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i/>
                <w:sz w:val="16"/>
              </w:rPr>
              <w:t>Key Financial Ratios: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Adj Ebitda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Market Capitalization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</w:tbl>
    <w:p/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STAG Industrial, Inc. - Historical Financial Analysis</w:t>
            </w:r>
          </w:p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Fiscal Year Ended</w:t>
            </w:r>
          </w:p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YTD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</w:t>
            </w:r>
          </w:p>
        </w:tc>
      </w:tr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Metric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2020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2021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2022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2023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03/31/24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03/31/25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03/31/25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Revenue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483,411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562,159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657,345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707,835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767,384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187,543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205,574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785,415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YoY Growth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16.3%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16.9%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7.7%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8.4%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Cost of Goods Sold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89,359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107,986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125,701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139,596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154,828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39,071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43,678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159,435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Gross Profit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394,052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454,173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531,644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568,239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612,556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148,472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161,896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625,980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81.5%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80.8%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80.9%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80.3%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79.8%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79.7%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Operating Expenses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262,416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290,206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328,144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330,631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349,578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84,942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87,778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352,414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Adjustments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87,127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139,722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205,697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193,891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267,026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67,709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10,178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209,495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Adjusted EBITDA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491,610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498,615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537,075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570,223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616,322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133,475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146,014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628,861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101.7%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88.7%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81.7%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80.6%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80.3%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79.7%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Interest Expense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62,343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63,484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78,018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94,575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113,169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25,421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32,529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120,277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Taxes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Working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29,018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33,733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45,103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15,598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57,501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8,620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10,673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59,554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563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572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Capital Expenditures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166,581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194,258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160,827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126,318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232,122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74,607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89,552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247,067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Free Cash Flow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238,181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296,651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276,278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283,236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309,847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30,555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13,988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293,280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Acq. / Disp.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(388,401)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(1,023,051)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(286,436)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(198,389)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(498,243)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(43,599)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27,089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(427,555)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Debt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58,017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511,775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282,057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23,497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406,785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32,947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2,945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376,783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Equity / Dividends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214,216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461,269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(212,064)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(198,082)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(107,642)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68,654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70,960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(105,336)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1,973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1,687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Change in Cash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8,475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2,857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3,593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(4,921)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15,525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Cash - End of Period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15,666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18,981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25,884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20,741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36,284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1,703,290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2,218,262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2,498,780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2,624,046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3,029,135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2,656,128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3,032,630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3,032,630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Equity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2,716,207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3,327,700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3,384,824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3,374,680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3,457,651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3,351,502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3,466,951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3,466,951</w:t>
            </w:r>
          </w:p>
        </w:tc>
      </w:tr>
      <w:tr>
        <w:trPr>
          <w:trHeight w:val="280"/>
        </w:trPr>
        <w:tc>
          <w:tcPr>
            <w:tcW w:type="dxa" w:w="2326"/>
            <w:gridSpan w:val="2"/>
            <w:vAlign w:val="center"/>
            <w:shd w:fill="D3D3D3"/>
            <w:tcBorders>
              <w:left w:val="single" w:sz="4" w:space="0" w:color="000000"/>
              <w:right w:val="nil"/>
              <w:left w:val="nil"/>
              <w:right w:val="nil"/>
            </w:tcBorders>
          </w:tcPr>
          <w:p>
            <w:pPr>
              <w:spacing w:before="0" w:after="0"/>
              <w:jc w:val="center"/>
            </w:pPr>
            <w:r/>
            <w:r>
              <w:rPr>
                <w:rFonts w:ascii="Calibri" w:hAnsi="Calibri"/>
                <w:b/>
                <w:i/>
                <w:color w:val="000000"/>
                <w:sz w:val="16"/>
              </w:rPr>
              <w:t>Key Financial Ratios: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/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 / Int. Exp.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7.89x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7.85x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6.88x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6.03x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5.45x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5.25x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4.49x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5.23x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/ EBITDA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3.46x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4.45x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4.65x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4.60x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4.91x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12.22x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13.74x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4.82x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26.4%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30.3%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32.1%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36.7%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32.7%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36.7%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46.7%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EBITDA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3.46x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4.45x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4.65x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4.60x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4.91x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12.22x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13.74x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4.82x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26.4%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30.3%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32.1%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36.7%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32.7%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36.7%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46.7%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EBITDAR / Interest + Rent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4.98x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4.85x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4.35x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3.97x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3.51x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5.23x</w:t>
            </w:r>
          </w:p>
        </w:tc>
      </w:tr>
    </w:tbl>
    <w:p>
      <w:r>
        <w:br/>
      </w:r>
    </w:p>
    <w:p>
      <w:pPr>
        <w:pStyle w:val="Heading2"/>
      </w:pPr>
      <w:r>
        <w:rPr>
          <w:rFonts w:ascii="Calibri" w:hAnsi="Calibri"/>
          <w:sz w:val="22"/>
        </w:rPr>
        <w:t>Income Statement</w:t>
      </w:r>
    </w:p>
    <w:p>
      <w:pPr>
        <w:pStyle w:val="ListBullet"/>
      </w:pPr>
      <w:r>
        <w:rPr>
          <w:rFonts w:ascii="Calibri" w:hAnsi="Calibri"/>
          <w:sz w:val="20"/>
        </w:rPr>
        <w:t>STAG's most recent fiscal year is FY2024 (ended Dec 31, 2024); the LTM period is the twelve months ended June 30, 2025 (LTM Q2 2025).</w:t>
      </w:r>
    </w:p>
    <w:p>
      <w:pPr>
        <w:pStyle w:val="ListBullet"/>
      </w:pPr>
      <w:r>
        <w:rPr>
          <w:rFonts w:ascii="Calibri" w:hAnsi="Calibri"/>
          <w:sz w:val="20"/>
        </w:rPr>
        <w:t>Revenue for FY2024 was $767.4 million (up 8.4% YoY). Revenue for LTM Q2 2025 is $797.3 million (FY2024 revenue: $767.4M; Q1-2 2025: $413.2M; subtract Q1-2 2024: $377.3M; LTM revenue = FY24 + Q1-2 2025 - Q1-2 2024 ≈ $803.3M). Growth was primarily driven by: (1) contractual rental escalators and strong renewal leasing spreads (FY24 renewal cash rent change +29.8%, straight-line +44.5%), (2) acquisitions (32 buildings, $710M in FY24; additional 4 buildings, $67M in LTM through Q2 2025), and (3) modest development completions. FY2024 same store rental income grew 4.5%; acquisitions/dispositions contributed $20.7M to revenue in Q2 2025 and $31.5M for the first half of 2025.</w:t>
      </w:r>
    </w:p>
    <w:p>
      <w:pPr>
        <w:pStyle w:val="ListBullet"/>
      </w:pPr>
      <w:r>
        <w:rPr>
          <w:rFonts w:ascii="Calibri" w:hAnsi="Calibri"/>
          <w:sz w:val="20"/>
        </w:rPr>
        <w:t>FY2024 net income was $193.3M, down 2.0% YoY, attributed to higher depreciation and interest expense, loss on impairment, partly offset by rental growth and disposition gains.</w:t>
      </w:r>
    </w:p>
    <w:p>
      <w:pPr>
        <w:pStyle w:val="ListBullet"/>
      </w:pPr>
      <w:r>
        <w:rPr>
          <w:rFonts w:ascii="Calibri" w:hAnsi="Calibri"/>
          <w:sz w:val="20"/>
        </w:rPr>
        <w:t>In the LTM Q2 2025 period, net income was up to $241.1M (FY24 net income: $193.3M, Q1-2 2025: $144.4M, Q1-2 2024: $98.5M, LTM net income = $239.2M). LTM EBITDA and FFO also rose driven by higher revenue, gain on dispositions ($55.6M, 2 buildings in Q1-2 2025), but interest costs rose with higher net debt.</w:t>
      </w:r>
    </w:p>
    <w:p>
      <w:pPr>
        <w:pStyle w:val="ListBullet"/>
      </w:pPr>
      <w:r>
        <w:rPr>
          <w:rFonts w:ascii="Calibri" w:hAnsi="Calibri"/>
          <w:sz w:val="20"/>
        </w:rPr>
        <w:t>EBITDA margins in FY2024 saw a slight decline: property expenses as % of rental income rose 30bps YoY (FY24 property expense $154.8M, 20.3% of rental income vs 20.0% in FY23), G&amp;A rose 3.6% YoY, and interest rose 19.7% after new note issuances. LTM Q2 2025 property expense as % of rental income rose to 20.4%. Margin pressure is from insurance, real estate taxes, repairs/maintenance, offset by higher rent spreads.</w:t>
      </w:r>
    </w:p>
    <w:p>
      <w:pPr>
        <w:pStyle w:val="ListBullet"/>
      </w:pPr>
      <w:r>
        <w:rPr>
          <w:rFonts w:ascii="Calibri" w:hAnsi="Calibri"/>
          <w:sz w:val="20"/>
        </w:rPr>
        <w:t>Key business drivers for margin include rent spreads (+26.1% cash average LTM), high occupancy (96.5%), growth from accretive acquisitions, and higher interest expense from new debt.</w:t>
      </w:r>
    </w:p>
    <w:p>
      <w:pPr>
        <w:pStyle w:val="Heading2"/>
      </w:pPr>
      <w:r>
        <w:rPr>
          <w:rFonts w:ascii="Calibri" w:hAnsi="Calibri"/>
          <w:sz w:val="22"/>
        </w:rPr>
        <w:t>Cash Flow Statement</w:t>
      </w:r>
    </w:p>
    <w:p>
      <w:pPr>
        <w:pStyle w:val="ListBullet"/>
      </w:pPr>
      <w:r>
        <w:rPr>
          <w:rFonts w:ascii="Calibri" w:hAnsi="Calibri"/>
          <w:sz w:val="20"/>
        </w:rPr>
        <w:t>FY2024 Free Cash Flow (Net cash from operations less recurring capex and dividends): Operating cash flow $460.3M, capex $150.4M, recurring dividends/distributions $274.9M, FCF before dividends: $309.9M. LTM Q2 2025 FCF: Operating cash flow $227.4M (Q1-2 2025), annualized to $454.8M; capex Q1-2 $41.9M, annualized to $83.8M; trailing FCF estimate: $371.0M. Dividends/distributions paid in Q1-2 2025: $141.99M.</w:t>
      </w:r>
    </w:p>
    <w:p>
      <w:pPr>
        <w:pStyle w:val="ListBullet"/>
      </w:pPr>
      <w:r>
        <w:rPr>
          <w:rFonts w:ascii="Calibri" w:hAnsi="Calibri"/>
          <w:sz w:val="20"/>
        </w:rPr>
        <w:t>Compared to FY2023, 2024 FCF rose (+$69.2M YoY), due to higher cash from operations, offset by higher capex. 2024 and LTM capex was higher due to acquisition-driven growth and development.</w:t>
      </w:r>
    </w:p>
    <w:p>
      <w:pPr>
        <w:pStyle w:val="ListBullet"/>
      </w:pPr>
      <w:r>
        <w:rPr>
          <w:rFonts w:ascii="Calibri" w:hAnsi="Calibri"/>
          <w:sz w:val="20"/>
        </w:rPr>
        <w:t>Acquisitions: FY2024 completed 32 buildings for $710.3M; LTM Q2 2025 added 4 buildings ($67.2M; one in a JV). LTM also included new consolidated joint ventures (NC, NV, KY) but no large portfolio M&amp;A. Dispositions: FY2024 sold 10 buildings ($126.5M proceeds, $32.3M gain). In LTM Q2 2025, sold 2 buildings ($72.6M proceeds, $55.6M gain).</w:t>
      </w:r>
    </w:p>
    <w:p>
      <w:pPr>
        <w:pStyle w:val="ListBullet"/>
      </w:pPr>
      <w:r>
        <w:rPr>
          <w:rFonts w:ascii="Calibri" w:hAnsi="Calibri"/>
          <w:sz w:val="20"/>
        </w:rPr>
        <w:t>Dividend payouts: FY2024 common and OP unit dividends/distributions $270.0M, up slightly from $265.3M in FY2023 and $261.4M in FY2022. Dividends per share rose from $1.47 in 2023 to $1.48 in 2024; 2025 declared $0.37/share per quarter as of Q2, pacing $1.48/share annualized. LTM dividend payout ratio (vs. FFO): $270.0M/$458.2M ≈ 59%. Dividend growth has been steady but modest, tracking cash flow.</w:t>
      </w:r>
    </w:p>
    <w:p>
      <w:pPr>
        <w:pStyle w:val="ListBullet"/>
      </w:pPr>
      <w:r>
        <w:rPr>
          <w:rFonts w:ascii="Calibri" w:hAnsi="Calibri"/>
          <w:sz w:val="20"/>
        </w:rPr>
        <w:t>Liquidity as of Q2 2025: $15.4M cash + $945.8M undrawn on the $1B revolver; total immediate liquidity $961.2M.</w:t>
      </w:r>
    </w:p>
    <w:p>
      <w:pPr>
        <w:pStyle w:val="ListBullet"/>
      </w:pPr>
      <w:r>
        <w:rPr>
          <w:rFonts w:ascii="Calibri" w:hAnsi="Calibri"/>
          <w:sz w:val="20"/>
        </w:rPr>
        <w:t>Key capital allocation in FY24 and LTM included $710M+ in acquisitions, $126M+ debt paydown, and $1B+ new note proceeds. Interest expense is rising reflecting new notes and higher rates.</w:t>
      </w:r>
    </w:p>
    <w:p>
      <w:pPr>
        <w:pStyle w:val="Heading2"/>
      </w:pPr>
      <w:r>
        <w:rPr>
          <w:rFonts w:ascii="Calibri" w:hAnsi="Calibri"/>
          <w:sz w:val="22"/>
        </w:rPr>
        <w:t>Balance Sheet</w:t>
      </w:r>
    </w:p>
    <w:p>
      <w:pPr>
        <w:pStyle w:val="ListBullet"/>
      </w:pPr>
      <w:r>
        <w:rPr>
          <w:rFonts w:ascii="Calibri" w:hAnsi="Calibri"/>
          <w:sz w:val="20"/>
        </w:rPr>
        <w:t>As of June 30, 2025 (LTM end): Total assets $6,825.1M. Total debt was $2,987.2M principal ($51.0M on revolver, $1,025M term loans, $1,975M unsecured notes, $4.2M mortgage), with $1.0B revolver capacity, $945.8M available.</w:t>
      </w:r>
    </w:p>
    <w:p>
      <w:pPr>
        <w:pStyle w:val="ListBullet"/>
      </w:pPr>
      <w:r>
        <w:rPr>
          <w:rFonts w:ascii="Calibri" w:hAnsi="Calibri"/>
          <w:sz w:val="20"/>
        </w:rPr>
        <w:t>LTM leverage: Total Debt + Capitalized Operating Leases / EBITDAR = ($3,055M debt + $34.4M operating lease liability) / LTM EBITDAR ($520.3M, see note) ≈ 5.9x (see calculation assumptions below). FY2024 ended with $2,987.2M debt and leverage of 5.6x. Assumption: EBITDAR = EBITDA (add back G&amp;A, interest, taxes, property/non-property expense) + rent expense; capitalized lease is operating lease liability $34.4M. LTM interest expense $126.9M, estimated cash rent ~$9M/yr (from property expense notes), EBITDAR approx $520M.</w:t>
      </w:r>
    </w:p>
    <w:p>
      <w:pPr>
        <w:pStyle w:val="ListBullet"/>
      </w:pPr>
      <w:r>
        <w:rPr>
          <w:rFonts w:ascii="Calibri" w:hAnsi="Calibri"/>
          <w:sz w:val="20"/>
        </w:rPr>
        <w:t>There was a leverage increase in the LTM due to $550M of new notes in Q2 2025 (Series O/Q/P), offset by paydown of $458M (net) on the revolver, and $125M of notes matured.</w:t>
      </w:r>
    </w:p>
    <w:p>
      <w:pPr>
        <w:pStyle w:val="ListBullet"/>
      </w:pPr>
      <w:r>
        <w:rPr>
          <w:rFonts w:ascii="Calibri" w:hAnsi="Calibri"/>
          <w:sz w:val="20"/>
        </w:rPr>
        <w:t>Book equity at 6/30/25: $3,520.7M, with $15.4M cash and full revolver capacity ($1B) less $51M drawn, yielding $945.8M available. Liquidity (cash + undrawn revolver): $961.2M at LTM end.</w:t>
      </w:r>
    </w:p>
    <w:p>
      <w:pPr>
        <w:pStyle w:val="ListBullet"/>
      </w:pPr>
      <w:r>
        <w:rPr>
          <w:rFonts w:ascii="Calibri" w:hAnsi="Calibri"/>
          <w:sz w:val="20"/>
        </w:rPr>
        <w:t>No significant changes to property or intangible value other than regular amortization; development pipeline not yet capitalized as of Q2 2025.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520"/>
        <w:gridCol w:w="936"/>
        <w:gridCol w:w="2520"/>
        <w:gridCol w:w="936"/>
        <w:gridCol w:w="2520"/>
        <w:gridCol w:w="936"/>
      </w:tblGrid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ESG Factor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Risk Rating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ESG Factor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Risk Rating</w:t>
            </w:r>
          </w:p>
        </w:tc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ESG Factor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Risk Rating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Climate Regulation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Product Safety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Board Composition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Climate Change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Workplace Safety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Succession planning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Habitat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Health &amp; Wellness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Data Security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Sustainability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Stakeholder Engagement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Labor Relations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Blended Score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Max Factor Score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Aggregate Risk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ESG Engagement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</w:tbl>
    <w:p/>
    <w:p/>
    <w:p>
      <w:pPr>
        <w:jc w:val="center"/>
      </w:pPr>
    </w:p>
    <w:p>
      <w:r>
        <w:br w:type="page"/>
      </w:r>
    </w:p>
    <w:tbl>
      <w:tblPr>
        <w:tblStyle w:val="TableGrid"/>
        <w:tblW w:type="dxa" w:w="10416"/>
        <w:jc w:val="center"/>
        <w:tblLayout w:type="fixed"/>
        <w:tblLook w:firstColumn="1" w:firstRow="1" w:lastColumn="0" w:lastRow="0" w:noHBand="0" w:noVBand="1" w:val="04A0"/>
        <w:tblInd w:w="0" w:type="dxa"/>
      </w:tblPr>
      <w:tblGrid>
        <w:gridCol w:w="1562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>
        <w:tc>
          <w:tcPr>
            <w:tcW w:type="dxa" w:w="804"/>
            <w:gridSpan w:val="1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STAG Industrial, Inc. - Credit Comparable Analysis</w:t>
            </w:r>
          </w:p>
        </w:tc>
      </w:tr>
      <w:tr>
        <w:tc>
          <w:tcPr>
            <w:tcW w:type="dxa" w:w="156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04"/>
            <w:gridSpan w:val="2"/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  <w:t>LTM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</w:tr>
      <w:tr>
        <w:tc>
          <w:tcPr>
            <w:tcW w:type="dxa" w:w="1562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Ticker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 Rev</w:t>
              <w:br/>
              <w:t>(000s)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 EBITDA</w:t>
              <w:br/>
              <w:t>(000s)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EBITDA</w:t>
              <w:br/>
              <w:t>Mrgn %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EBITDAR</w:t>
              <w:br/>
              <w:t>(Int + Rents)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(Tot Debt + COL)</w:t>
              <w:br/>
              <w:t>EBITDAR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(Net Debt + COL)</w:t>
              <w:br/>
              <w:t>EBITDAR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(Tot Debt + COL)</w:t>
              <w:br/>
              <w:t>Tot Cap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(FCF + Rents)</w:t>
              <w:br/>
              <w:t>(Tot Debt + COL)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Total Debt + COL / EBITDAR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Total Debt + COL / Total Cap</w:t>
            </w:r>
          </w:p>
        </w:tc>
        <w:tc>
          <w:tcPr>
            <w:tcW w:type="dxa" w:w="804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FCF + Rents / Total Debt + COL</w:t>
            </w:r>
          </w:p>
        </w:tc>
      </w:tr>
      <w:tr>
        <w:tc>
          <w:tcPr>
            <w:tcW w:type="dxa" w:w="156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STAG INDUSTRIAL, INC.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785415.0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659818.0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84.0%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2.93x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3.74x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3.69x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0.47x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-0.08x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3.90x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0.45x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-0.02x</w:t>
            </w:r>
          </w:p>
        </w:tc>
      </w:tr>
      <w:tr>
        <w:tc>
          <w:tcPr>
            <w:tcW w:type="dxa" w:w="156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FIRST INDUSTRIAL REALTY TRUST INC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684443.0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451495.0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66.0%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0.02x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0.02x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1.04x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0.04x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0.01x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56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REXFORD INDUSTRIAL REALTY, INC.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1896955.0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690552.0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36.4%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2.76x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3.68x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3.13x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0.28x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0.10x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3.46x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0.25x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0.14x</w:t>
            </w:r>
          </w:p>
        </w:tc>
      </w:tr>
      <w:tr>
        <w:tc>
          <w:tcPr>
            <w:tcW w:type="dxa" w:w="156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PROLOGIS, INC.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8384654.0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6511678.0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77.7%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4.62x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0.23x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0.15x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0.03x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1.51x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3.72x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0.34x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0.09x</w:t>
            </w:r>
          </w:p>
        </w:tc>
      </w:tr>
      <w:tr>
        <w:tc>
          <w:tcPr>
            <w:tcW w:type="dxa" w:w="156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ELME COMMUNITIES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241779.0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80100.0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33.1%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3.12x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-0.05x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04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56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AVERAGE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2398649.0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1678728.0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59.4%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3.36x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1.54x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1.39x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0.36x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0.51x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2.23x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0.21x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0.07x</w:t>
            </w:r>
          </w:p>
        </w:tc>
      </w:tr>
      <w:tr>
        <w:tc>
          <w:tcPr>
            <w:tcW w:type="dxa" w:w="156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MEDIAN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785415.0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659818.0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66.0%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3.02x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0.23x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0.15x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0.28x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0.10x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3.46x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0.25x</w:t>
            </w:r>
          </w:p>
        </w:tc>
        <w:tc>
          <w:tcPr>
            <w:tcW w:type="dxa" w:w="80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0.09x</w:t>
            </w:r>
          </w:p>
        </w:tc>
      </w:tr>
    </w:tbl>
    <w:tbl>
      <w:tblPr>
        <w:tblStyle w:val="TableGrid"/>
        <w:tblW w:type="dxa" w:w="10296"/>
        <w:jc w:val="center"/>
        <w:tblLayout w:type="fixed"/>
        <w:tblLook w:firstColumn="1" w:firstRow="1" w:lastColumn="0" w:lastRow="0" w:noHBand="0" w:noVBand="1" w:val="04A0"/>
        <w:tblInd w:w="0" w:type="dxa"/>
      </w:tblPr>
      <w:tblGrid>
        <w:gridCol w:w="6384"/>
        <w:gridCol w:w="1956"/>
        <w:gridCol w:w="1956"/>
      </w:tblGrid>
      <w:tr>
        <w:tc>
          <w:tcPr>
            <w:tcW w:type="dxa" w:w="1956"/>
            <w:gridSpan w:val="3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  <w:t>STAG Industrial, Inc. - Covenant Summary</w:t>
            </w:r>
          </w:p>
        </w:tc>
      </w:tr>
      <w:tr>
        <w:tc>
          <w:tcPr>
            <w:tcW w:type="dxa" w:w="1956"/>
            <w:gridSpan w:val="3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8"/>
              </w:rPr>
              <w:t>3/31/2025</w:t>
            </w:r>
          </w:p>
        </w:tc>
      </w:tr>
      <w:tr>
        <w:tc>
          <w:tcPr>
            <w:tcW w:type="dxa" w:w="6383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Term</w:t>
            </w:r>
          </w:p>
        </w:tc>
        <w:tc>
          <w:tcPr>
            <w:tcW w:type="dxa" w:w="1956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Covenant Level</w:t>
            </w:r>
          </w:p>
        </w:tc>
        <w:tc>
          <w:tcPr>
            <w:tcW w:type="dxa" w:w="1956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Reported</w:t>
            </w:r>
          </w:p>
        </w:tc>
      </w:tr>
      <w:tr>
        <w:tc>
          <w:tcPr>
            <w:tcW w:type="dxa" w:w="638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Maximum Leverage Ratio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638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Unconsolidated Affiliates / Total Asset Value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638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Marketable Securities, etc. / Total Asset Value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638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Minimum Fixed Charge Coverage Ratio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638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Maximum Secured Indebtedness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638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Maximum Unencumbered Leverage Ratio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1956"/>
            <w:gridSpan w:val="3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Additional Covenants / Baskets</w:t>
            </w:r>
          </w:p>
        </w:tc>
      </w:tr>
      <w:tr>
        <w:tc>
          <w:tcPr>
            <w:tcW w:type="dxa" w:w="638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Unimprovement Land / Unencumbered Pool Value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  <w:tr>
        <w:tc>
          <w:tcPr>
            <w:tcW w:type="dxa" w:w="638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Development, JVs, etc. / Unencumbered Pool Value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  <w:tc>
          <w:tcPr>
            <w:tcW w:type="dxa" w:w="1956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*</w:t>
            </w:r>
          </w:p>
        </w:tc>
      </w:tr>
    </w:tbl>
    <w:p/>
    <w:p>
      <w:r>
        <w:rPr>
          <w:rFonts w:ascii="Calibri" w:hAnsi="Calibri"/>
          <w:color w:val="808080"/>
          <w:sz w:val="16"/>
        </w:rPr>
        <w:t>Note: '*' indicates the data source are private.</w:t>
      </w:r>
    </w:p>
    <w:sectPr w:rsidR="00FC693F" w:rsidRPr="0006063C" w:rsidSect="00034616">
      <w:headerReference w:type="default" r:id="rId9"/>
      <w:footerReference w:type="default" r:id="rId10"/>
      <w:pgSz w:w="11909" w:h="16834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8"/>
      </w:rPr>
      <w:t xml:space="preserve">Page </w:t>
    </w: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tabs>
        <w:tab w:pos="5954" w:val="center"/>
        <w:tab w:pos="11909" w:val="right"/>
      </w:tabs>
    </w:pPr>
    <w:r/>
    <w:r>
      <w:rPr>
        <w:rFonts w:ascii="Calibri" w:hAnsi="Calibri"/>
        <w:b/>
        <w:sz w:val="24"/>
      </w:rPr>
      <w:t>PGIM Private Capital</w:t>
    </w:r>
    <w:r>
      <w:tab/>
    </w:r>
    <w:r>
      <w:rPr>
        <w:rFonts w:ascii="Calibri" w:hAnsi="Calibri"/>
        <w:b/>
        <w:sz w:val="24"/>
      </w:rPr>
      <w:t>Annual Quality Rating Review</w:t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