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234"/>
        <w:gridCol w:w="5234"/>
      </w:tblGrid>
      <w:tr>
        <w:tc>
          <w:tcPr>
            <w:tcW w:type="dxa" w:w="5234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Key Credit Merits</w:t>
            </w:r>
          </w:p>
        </w:tc>
        <w:tc>
          <w:tcPr>
            <w:tcW w:type="dxa" w:w="5234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Key Credit Risks</w:t>
            </w:r>
          </w:p>
        </w:tc>
      </w:tr>
      <w:tr>
        <w:tc>
          <w:tcPr>
            <w:tcW w:type="dxa" w:w="5234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Strong free cash flow generation</w:t>
            </w:r>
          </w:p>
        </w:tc>
        <w:tc>
          <w:tcPr>
            <w:tcW w:type="dxa" w:w="5234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High leverage and debt load</w:t>
            </w:r>
          </w:p>
        </w:tc>
      </w:tr>
      <w:tr>
        <w:tc>
          <w:tcPr>
            <w:tcW w:type="dxa" w:w="5234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Diverse global revenue base</w:t>
            </w:r>
          </w:p>
        </w:tc>
        <w:tc>
          <w:tcPr>
            <w:tcW w:type="dxa" w:w="5234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Exposure to macroeconomic and FX volatility</w:t>
            </w:r>
          </w:p>
        </w:tc>
      </w:tr>
      <w:tr>
        <w:tc>
          <w:tcPr>
            <w:tcW w:type="dxa" w:w="5234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Ample liquidity and access to capital</w:t>
            </w:r>
          </w:p>
        </w:tc>
        <w:tc>
          <w:tcPr>
            <w:tcW w:type="dxa" w:w="5234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Acquisition integration and execution risk</w:t>
            </w:r>
          </w:p>
        </w:tc>
      </w:tr>
    </w:tbl>
    <w:p/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1374"/>
        <w:gridCol w:w="1374"/>
        <w:gridCol w:w="1374"/>
        <w:gridCol w:w="1374"/>
        <w:gridCol w:w="1374"/>
      </w:tblGrid>
      <w:tr>
        <w:tc>
          <w:tcPr>
            <w:tcW w:type="dxa" w:w="10470"/>
            <w:gridSpan w:val="6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28"/>
              </w:rPr>
              <w:t>THERMO FISHER SCIENTIFIC INC. - Capitalization Table</w:t>
            </w:r>
          </w:p>
        </w:tc>
      </w:tr>
      <w:tr>
        <w:tc>
          <w:tcPr>
            <w:tcW w:type="dxa" w:w="1745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Item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Amount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PPC Holdings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Coupon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Secured</w:t>
            </w:r>
          </w:p>
        </w:tc>
        <w:tc>
          <w:tcPr>
            <w:tcW w:type="dxa" w:w="1745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Maturity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Cash and Equivalents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4,576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Revolving Credit Facility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 + 80-150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2027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Senior Notes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35,303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None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None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(Less: Debt Issuance Costs)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172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Total Debt</w:t>
            </w: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35,033</w:t>
            </w: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Book Value of Equity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50,512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Book Capitalization</w:t>
            </w: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85,545</w:t>
            </w: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  <w:tc>
          <w:tcPr>
            <w:tcW w:type="dxa" w:w="1745"/>
            <w:tcBorders>
              <w:top w:val="single" w:sz="8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10470"/>
            <w:gridSpan w:val="6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i/>
                <w:sz w:val="16"/>
              </w:rPr>
              <w:t>Key Financial Ratios: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To Adj Ebitda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To Market Capitalization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</w:tbl>
    <w:p/>
    <w:p>
      <w:r>
        <w:br w:type="page"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679"/>
        <w:gridCol w:w="679"/>
        <w:gridCol w:w="679"/>
        <w:gridCol w:w="679"/>
        <w:gridCol w:w="679"/>
        <w:gridCol w:w="679"/>
        <w:gridCol w:w="679"/>
        <w:gridCol w:w="679"/>
      </w:tblGrid>
      <w:tr>
        <w:tc>
          <w:tcPr>
            <w:tcW w:type="dxa" w:w="1163"/>
            <w:shd w:fill="44546A"/>
            <w:tcBorders>
              <w:left w:val="single" w:sz="4" w:space="0" w:color="000000"/>
              <w:right w:val="nil"/>
            </w:tcBorders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THERMO FISHER SCIENTIFIC INC. - Historical Financial Analysis</w:t>
            </w:r>
          </w:p>
        </w:tc>
        <w:tc>
          <w:tcPr>
            <w:tcW w:type="dxa" w:w="2326"/>
            <w:gridSpan w:val="2"/>
            <w:shd w:fill="44546A"/>
            <w:tcBorders>
              <w:left w:val="nil"/>
              <w:right w:val="nil"/>
              <w:left w:val="nil"/>
              <w:right w:val="nil"/>
            </w:tcBorders>
            <w:shd w:fill="44546A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Fiscal Year Ended</w:t>
            </w:r>
          </w:p>
        </w:tc>
        <w:tc>
          <w:tcPr>
            <w:tcW w:type="dxa" w:w="1163"/>
            <w:tcBorders>
              <w:left w:val="nil"/>
              <w:right w:val="nil"/>
            </w:tcBorders>
            <w:shd w:fill="44546A"/>
          </w:tcPr>
          <w:p/>
        </w:tc>
        <w:tc>
          <w:tcPr>
            <w:tcW w:type="dxa" w:w="1163"/>
            <w:tcBorders>
              <w:left w:val="nil"/>
              <w:right w:val="nil"/>
            </w:tcBorders>
            <w:shd w:fill="44546A"/>
          </w:tcPr>
          <w:p/>
        </w:tc>
        <w:tc>
          <w:tcPr>
            <w:tcW w:type="dxa" w:w="1163"/>
            <w:tcBorders>
              <w:left w:val="nil"/>
              <w:right w:val="nil"/>
            </w:tcBorders>
            <w:shd w:fill="44546A"/>
          </w:tcPr>
          <w:p/>
        </w:tc>
        <w:tc>
          <w:tcPr>
            <w:tcW w:type="dxa" w:w="2326"/>
            <w:gridSpan w:val="2"/>
            <w:shd w:fill="44546A"/>
            <w:tcBorders>
              <w:left w:val="nil"/>
              <w:right w:val="nil"/>
              <w:left w:val="nil"/>
              <w:right w:val="nil"/>
            </w:tcBorders>
            <w:shd w:fill="44546A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YTD</w:t>
            </w:r>
          </w:p>
        </w:tc>
        <w:tc>
          <w:tcPr>
            <w:tcW w:type="dxa" w:w="1163"/>
            <w:shd w:fill="44546A"/>
            <w:tcBorders>
              <w:left w:val="nil"/>
              <w:right w:val="single" w:sz="4" w:space="0" w:color="000000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LTM</w:t>
            </w:r>
          </w:p>
        </w:tc>
      </w:tr>
      <w:tr>
        <w:tc>
          <w:tcPr>
            <w:tcW w:type="dxa" w:w="1163"/>
            <w:shd w:fill="44546A"/>
            <w:tcBorders>
              <w:left w:val="single" w:sz="4" w:space="0" w:color="000000"/>
              <w:right w:val="nil"/>
            </w:tcBorders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Metric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2020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2021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2022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2023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2024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03/31/24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03/31/25</w:t>
            </w:r>
          </w:p>
        </w:tc>
        <w:tc>
          <w:tcPr>
            <w:tcW w:type="dxa" w:w="1163"/>
            <w:shd w:fill="44546A"/>
            <w:tcBorders>
              <w:left w:val="nil"/>
              <w:right w:val="single" w:sz="4" w:space="0" w:color="000000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03/31/25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Revenue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25,306,000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30,361,000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28,548,000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25,243,000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25,034,000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25,034,000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b/>
                <w:i/>
                <w:sz w:val="16"/>
              </w:rPr>
              <w:t>% YoY Growth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20.0%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(6.0%)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(11.6%)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(0.8%)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Cost of Goods Sold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11,407,000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13,594,000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14,247,000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13,168,000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12,523,000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12,523,000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Gross Profit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13,899,000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16,767,000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14,301,000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12,075,000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12,511,000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12,511,000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b/>
                <w:i/>
                <w:sz w:val="16"/>
              </w:rPr>
              <w:t>% Margin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54.9%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55.2%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50.1%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47.8%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50.0%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50.0%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Operating Expenses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8,210,000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9,610,000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10,578,000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10,241,000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10,364,000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10,364,000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Adjustments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1,985,000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2,402,000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2,857,000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2,802,000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2,600,000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2,600,000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Adjusted EBITDA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9,779,000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12,430,000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11,250,000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9,661,000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9,937,000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9,937,000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b/>
                <w:i/>
                <w:sz w:val="16"/>
              </w:rPr>
              <w:t>% Margin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38.6%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40.9%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39.4%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38.3%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39.7%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50.0%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Interest Expense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553,000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536,000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726,000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1,375,000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1,390,000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1,390,000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Taxes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850,000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1,109,000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703,000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284,000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657,000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657,000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Change in Working Capital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417,000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2,251,000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2,658,000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(505,000)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758,000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758,000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i/>
                <w:sz w:val="16"/>
              </w:rPr>
              <w:t>Other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(81,000)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(694,000)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(104,000)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(65,000)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12,000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12,000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Capital Expenditures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1,466,000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2,503,000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2,219,000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1,392,000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1,343,000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1,343,000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Free Cash Flow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6,815,000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6,789,000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6,911,000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6,927,000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7,267,000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7,267,000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Acq. / Disp.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38,000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19,395,000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39,000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3,660,000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3,132,000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3,132,000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Change in Debt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2,747,000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8,911,000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654,000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(155,000)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(2,403,000)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(2,403,000)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Equity / Dividends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1,837,000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2,395,000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3,455,000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3,523,000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3,583,000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3,583,000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i/>
                <w:sz w:val="16"/>
              </w:rPr>
              <w:t>Other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(147,000)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65,000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(9,000)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56,000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195,000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195,000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Change in Cash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7,914,000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(5,845,000)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4,046,000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(440,000)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(4,057,000)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(4,057,000)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Cash - End of Period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10,325,000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4,477,000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8,524,000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8,077,000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4,009,000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Total Debt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2,628,000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34,870,000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34,488,000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34,917,000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31,275,000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Book Equity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34,507,000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40,793,000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43,978,000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46,735,000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49,584,000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</w:tr>
      <w:tr>
        <w:trPr>
          <w:trHeight w:val="280"/>
        </w:trPr>
        <w:tc>
          <w:tcPr>
            <w:tcW w:type="dxa" w:w="2326"/>
            <w:gridSpan w:val="2"/>
            <w:vAlign w:val="center"/>
            <w:shd w:fill="D3D3D3"/>
            <w:tcBorders>
              <w:left w:val="single" w:sz="4" w:space="0" w:color="000000"/>
              <w:right w:val="nil"/>
              <w:left w:val="nil"/>
              <w:right w:val="nil"/>
            </w:tcBorders>
          </w:tcPr>
          <w:p>
            <w:pPr>
              <w:spacing w:before="0" w:after="0"/>
              <w:jc w:val="center"/>
            </w:pPr>
            <w:r/>
            <w:r>
              <w:rPr>
                <w:rFonts w:ascii="Calibri" w:hAnsi="Calibri"/>
                <w:b/>
                <w:i/>
                <w:color w:val="000000"/>
                <w:sz w:val="16"/>
              </w:rPr>
              <w:t>Key Financial Ratios: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/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EBITDA / Int. Exp.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17.68x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23.19x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15.50x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7.03x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7.15x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7.15x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/ EBITDA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0.27x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2.81x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3.07x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3.61x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3.15x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/ Book Capital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+ Leases / EBITDA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0.27x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2.81x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3.07x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3.61x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3.15x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+ Leases / Book Capital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EBITDAR / Interest + Rent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15.15x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17.23x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13.53x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5.52x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5.83x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7.15x</w:t>
            </w:r>
          </w:p>
        </w:tc>
      </w:tr>
    </w:tbl>
    <w:p>
      <w:r>
        <w:br/>
      </w:r>
    </w:p>
    <w:p>
      <w:pPr>
        <w:pStyle w:val="Heading2"/>
      </w:pPr>
      <w:r>
        <w:rPr>
          <w:rFonts w:ascii="Calibri" w:hAnsi="Calibri"/>
          <w:sz w:val="22"/>
        </w:rPr>
        <w:t>Income Statement</w:t>
      </w:r>
    </w:p>
    <w:p>
      <w:pPr>
        <w:pStyle w:val="ListBullet"/>
      </w:pPr>
      <w:r>
        <w:rPr>
          <w:rFonts w:ascii="Calibri" w:hAnsi="Calibri"/>
          <w:sz w:val="20"/>
        </w:rPr>
        <w:t>**Revenue in FY2024 was $42,879 million, flat compared to $42,857 million in FY2023 (0% change). LTM revenue through Q2 2025 was $43,557 million** (calculated as FY24 plus Q1–Q2 2025 less Q1–Q2 2024). Organic revenue growth in FY2024 was 0%. In the LTM, organic revenue growth was 1%. Growth drivers in FY2024 included strong momentum in Electron Microscopy (Analytical Instruments), growth in Immunodiagnostics/Transplant Diagnostics (Specialty Diagnostics), and resilience in the Research &amp; Safety Channel and Clinical Research businesses. These were offset by continued normalization in COVID-19-related revenues (from $0.33B in FY23 to $0.10B in FY24) and a decline in Life Sciences Solutions due to reduced demand for COVID-19 testing products and weak macroeconomic conditions, especially in China.</w:t>
      </w:r>
    </w:p>
    <w:p>
      <w:pPr>
        <w:pStyle w:val="ListBullet"/>
      </w:pPr>
      <w:r>
        <w:rPr>
          <w:rFonts w:ascii="Calibri" w:hAnsi="Calibri"/>
          <w:sz w:val="20"/>
        </w:rPr>
        <w:t>**Segment analysis for FY2024:** Life Sciences Solutions revenues declined 3% ($9,977M → $9,631M, with acquisition benefit), driven by a fall-off in COVID-19 testing. Analytical Instruments grew 3% ($7,263M → $7,463M), driven by Electron Microscopy. Specialty Diagnostics grew 2% ($4,405M → $4,512M), led by ImmunoDiagnostics and Transplant Diagnostics. Laboratory Products and Biopharma Services grew 1% ($23,041M → $23,157M), as pharma services growth was offset by reduced COVID-19 vaccine demand.</w:t>
      </w:r>
    </w:p>
    <w:p>
      <w:pPr>
        <w:pStyle w:val="ListBullet"/>
      </w:pPr>
      <w:r>
        <w:rPr>
          <w:rFonts w:ascii="Calibri" w:hAnsi="Calibri"/>
          <w:sz w:val="20"/>
        </w:rPr>
        <w:t>**EBITDA margins**: In FY2024, GAAP operating margin increased to 17.1% from 16.0% in FY2023 (up 1.1 pts). Adjusted operating income margin, representing core EBITDA margin, declined slightly to 22.6% (from 22.9%). In LTM Q2 2025, adjusted operating margin was 21.9%. Margin compression is primarily attributed to an unfavorable business mix (reduced high-margin COVID-19 sales, higher exposure to lower-margin services), inflation, and increased strategic investments (mainly in commercial/commercial infrastructure, R&amp;D, and capacity). Productivity improvement (cost savings from PPI, supply chain, and restructuring) partially offset these headwinds. Notably, the Life Sciences Solutions segment's margin improved in FY24 to 36.4% (+2.1 pts) due to productivity improvements, but this was partially offset by lower demand.</w:t>
      </w:r>
    </w:p>
    <w:p>
      <w:pPr>
        <w:pStyle w:val="ListBullet"/>
      </w:pPr>
      <w:r>
        <w:rPr>
          <w:rFonts w:ascii="Calibri" w:hAnsi="Calibri"/>
          <w:sz w:val="20"/>
        </w:rPr>
        <w:t>**Net income for FY2024** was $6,338 million (GAAP), up 5.7% from $5,995 million in FY2023, driven by improved margins, lower amortization, and reduced interest expense.</w:t>
      </w:r>
    </w:p>
    <w:p>
      <w:pPr>
        <w:pStyle w:val="Heading2"/>
      </w:pPr>
      <w:r>
        <w:rPr>
          <w:rFonts w:ascii="Calibri" w:hAnsi="Calibri"/>
          <w:sz w:val="22"/>
        </w:rPr>
        <w:t>Cash Flow Statement</w:t>
      </w:r>
    </w:p>
    <w:p>
      <w:pPr>
        <w:pStyle w:val="ListBullet"/>
      </w:pPr>
      <w:r>
        <w:rPr>
          <w:rFonts w:ascii="Calibri" w:hAnsi="Calibri"/>
          <w:sz w:val="20"/>
        </w:rPr>
        <w:t>**Free Cash Flow (FCF) in FY2024 was $7,324 million** (Operating cash flow $8,667M less capex $1,400M plus asset sale proceeds $57M) — an increase from $7,014M in FY2023, driven by improved working capital management and strong operational cash generation. **In the LTM (Q3'24–Q2'25), FCF was approximately $6,557M** (Operating cash flow trailing four quarters ≈ $7.7B, with capex about $1.15B over H2'24 and H1'25 per cash flow schedules); the drop from FY24 reflects higher working capital outflows and the upfront costs of the Olink acquisition in H2'24/LTM.</w:t>
      </w:r>
    </w:p>
    <w:p>
      <w:pPr>
        <w:pStyle w:val="ListBullet"/>
      </w:pPr>
      <w:r>
        <w:rPr>
          <w:rFonts w:ascii="Calibri" w:hAnsi="Calibri"/>
          <w:sz w:val="20"/>
        </w:rPr>
        <w:t>**Acquisitions:**</w:t>
      </w:r>
    </w:p>
    <w:p>
      <w:pPr>
        <w:pStyle w:val="ListBullet"/>
      </w:pPr>
      <w:r>
        <w:rPr>
          <w:rFonts w:ascii="Calibri" w:hAnsi="Calibri"/>
          <w:sz w:val="20"/>
        </w:rPr>
        <w:t>- In July 2024, TMO closed the $3.1B cash acquisition of Olink Holding AB (high-growth proteomics).</w:t>
      </w:r>
    </w:p>
    <w:p>
      <w:pPr>
        <w:pStyle w:val="ListBullet"/>
      </w:pPr>
      <w:r>
        <w:rPr>
          <w:rFonts w:ascii="Calibri" w:hAnsi="Calibri"/>
          <w:sz w:val="20"/>
        </w:rPr>
        <w:t>- In FY2023: The Binding Site Group ($2.70B, specialty diagnostics, Jan 2023), CorEvitas LLC ($910M, real-world evidence, Aug 2023), and a small U.S. Raman-spectroscopy business ($31M, 2023).</w:t>
      </w:r>
    </w:p>
    <w:p>
      <w:pPr>
        <w:pStyle w:val="ListBullet"/>
      </w:pPr>
      <w:r>
        <w:rPr>
          <w:rFonts w:ascii="Calibri" w:hAnsi="Calibri"/>
          <w:sz w:val="20"/>
        </w:rPr>
        <w:t>- Pending: Solventum Purification &amp; Filtration (expected close late 2025, $4B).</w:t>
      </w:r>
    </w:p>
    <w:p>
      <w:pPr>
        <w:pStyle w:val="ListBullet"/>
      </w:pPr>
      <w:r>
        <w:rPr>
          <w:rFonts w:ascii="Calibri" w:hAnsi="Calibri"/>
          <w:sz w:val="20"/>
        </w:rPr>
        <w:t>**Dividend payout:** FY2024 cash dividends paid were $583M ($1.56/share), up from $523M ($1.40/share) in FY2023 and $455M ($1.20/share) in FY2022. The dividend increased at a CAGR of ~13% over the past three years.</w:t>
      </w:r>
    </w:p>
    <w:p>
      <w:pPr>
        <w:pStyle w:val="ListBullet"/>
      </w:pPr>
      <w:r>
        <w:rPr>
          <w:rFonts w:ascii="Calibri" w:hAnsi="Calibri"/>
          <w:sz w:val="20"/>
        </w:rPr>
        <w:t>**Share repurchases:** Thermo Fisher repurchased $4.0B of common stock (7.4 million shares) in FY2024; in Q1 2025, repurchased an incremental $2.0B (3.6M shares). Repurchases were consistent with historical capital prioritization after major M&amp;A.</w:t>
      </w:r>
    </w:p>
    <w:p>
      <w:pPr>
        <w:pStyle w:val="ListBullet"/>
      </w:pPr>
      <w:r>
        <w:rPr>
          <w:rFonts w:ascii="Calibri" w:hAnsi="Calibri"/>
          <w:sz w:val="20"/>
        </w:rPr>
        <w:t>**Operating cash flow in FY2024 was $8,667M, up from $8,406M in FY2023.** Key drivers were working capital stability, despite acquisitions and moderate revenue growth.</w:t>
      </w:r>
    </w:p>
    <w:p>
      <w:pPr>
        <w:pStyle w:val="Heading2"/>
      </w:pPr>
      <w:r>
        <w:rPr>
          <w:rFonts w:ascii="Calibri" w:hAnsi="Calibri"/>
          <w:sz w:val="22"/>
        </w:rPr>
        <w:t>Balance Sheet</w:t>
      </w:r>
    </w:p>
    <w:p>
      <w:pPr>
        <w:pStyle w:val="ListBullet"/>
      </w:pPr>
      <w:r>
        <w:rPr>
          <w:rFonts w:ascii="Calibri" w:hAnsi="Calibri"/>
          <w:sz w:val="20"/>
        </w:rPr>
        <w:t>Most recent fiscal year-end: December 31, 2024. Most recent LTM date: June 28, 2025.</w:t>
      </w:r>
    </w:p>
    <w:p>
      <w:pPr>
        <w:pStyle w:val="ListBullet"/>
      </w:pPr>
      <w:r>
        <w:rPr>
          <w:rFonts w:ascii="Calibri" w:hAnsi="Calibri"/>
          <w:sz w:val="20"/>
        </w:rPr>
        <w:t>**Total debt at FY2024 was $31,275 million, including $2,214 million short-term and $29,061 million long-term**. At LTM Q2 2025, total debt increased to $35,229 million (Q2 2025: $2,214M short-term + $33,015M long-term), reflecting new issuances for the Olink acquisition and anticipated Solventum acquisition.</w:t>
      </w:r>
    </w:p>
    <w:p>
      <w:pPr>
        <w:pStyle w:val="ListBullet"/>
      </w:pPr>
      <w:r>
        <w:rPr>
          <w:rFonts w:ascii="Calibri" w:hAnsi="Calibri"/>
          <w:sz w:val="20"/>
        </w:rPr>
        <w:t>**Capitalized operating leases** (estimated): As of Dec 31, 2024, operating lease liabilities were $1,500 million (ROU asset: $1,489M; liabilities: $1,501M per 10-K Note 13). For simplicity, we use $1.5B for capitalized operating leases. Thus, at FY24, leverage = (Total Debt + Capitalized Leases) / EBITDAR = (31.3B + 1.5B) / (7.3B Op Inc + 1.95B D&amp;A + 0.35B lease expense) = **Leverage ratio ≈ 3.9x**. For LTM Q2 2025, the ratio is (35.2B + 1.5B) / [~7.4B Op Inc (LTM estimate) + ~1.95B D&amp;A + ~0.36B lease expense] ≈ **Leverage ratio ~4.3x** (Estimate: EBITDAR calculated from last four quarters; D&amp;A and lease expense from 10-K). The leverage profile increased in the LTM due to new debt issuance for the Olink acquisition and pending Solventum acquisition.</w:t>
      </w:r>
    </w:p>
    <w:p>
      <w:pPr>
        <w:pStyle w:val="ListBullet"/>
      </w:pPr>
      <w:r>
        <w:rPr>
          <w:rFonts w:ascii="Calibri" w:hAnsi="Calibri"/>
          <w:sz w:val="20"/>
        </w:rPr>
        <w:t>**Liquidity**: As of June 28, 2025 (Q2 quarter-end), cash &amp; cash equivalents were $4,576M, with $1,814M in short-term investments (total $6,390M in liquid assets). Revolving credit facility remains undrawn, capacity of $5,000M, less immaterial LOCs outstanding — total available liquidity exceeds $11.3B.</w:t>
      </w:r>
    </w:p>
    <w:p>
      <w:pPr>
        <w:pStyle w:val="ListBullet"/>
      </w:pPr>
      <w:r>
        <w:rPr>
          <w:rFonts w:ascii="Calibri" w:hAnsi="Calibri"/>
          <w:sz w:val="20"/>
        </w:rPr>
        <w:t>Shareholders' equity increased to $50,512M at Q2 2025 (vs. $49,584M at FY24). Book value per share increased.</w:t>
      </w:r>
    </w:p>
    <w:p/>
    <w:p>
      <w:pPr>
        <w:jc w:val="center"/>
      </w:pPr>
    </w:p>
    <w:p>
      <w:r>
        <w:br w:type="page"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435900608"/>
        <w:gridCol w:w="739706374"/>
        <w:gridCol w:w="739706374"/>
        <w:gridCol w:w="739706374"/>
        <w:gridCol w:w="739706374"/>
        <w:gridCol w:w="739706374"/>
        <w:gridCol w:w="739706374"/>
        <w:gridCol w:w="739706374"/>
        <w:gridCol w:w="739706374"/>
        <w:gridCol w:w="739706374"/>
        <w:gridCol w:w="739706374"/>
        <w:gridCol w:w="739706374"/>
      </w:tblGrid>
      <w:tr>
        <w:tc>
          <w:tcPr>
            <w:tcW w:type="dxa" w:w="10464"/>
            <w:gridSpan w:val="1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THERMO FISHER SCIENTIFIC INC. - Credit Comparable Analysis</w:t>
            </w:r>
          </w:p>
        </w:tc>
      </w:tr>
      <w:tr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1744"/>
            <w:gridSpan w:val="2"/>
            <w:shd w:fill="44546A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  <w:t>LTM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8"/>
              </w:rPr>
            </w:r>
          </w:p>
        </w:tc>
      </w:tr>
      <w:tr>
        <w:tc>
          <w:tcPr>
            <w:tcW w:type="dxa" w:w="872"/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Ticker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LTM Rev</w:t>
              <w:br/>
              <w:t>(000s)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LTM EBITDA</w:t>
              <w:br/>
              <w:t>(000s)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EBITDA</w:t>
              <w:br/>
              <w:t>Mrgn %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EBITDAR</w:t>
              <w:br/>
              <w:t>(Int + Rents)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(Tot Debt + COL)</w:t>
              <w:br/>
              <w:t>EBITDAR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(Net Debt + COL)</w:t>
              <w:br/>
              <w:t>EBITDAR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(Tot Debt + COL)</w:t>
              <w:br/>
              <w:t>Tot Cap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(FCF + Rents)</w:t>
              <w:br/>
              <w:t>(Tot Debt + COL)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3-Year Average Total Debt + COL / EBITDAR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3-Year Average Total Debt + COL / Total Cap</w:t>
            </w:r>
          </w:p>
        </w:tc>
        <w:tc>
          <w:tcPr>
            <w:tcW w:type="dxa" w:w="872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3-Year Average FCF + Rents / Total Debt + COL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THERMO FISHER SCIENTIFIC INC.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30857000.0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9862000.0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5.8%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1.35x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1.57x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-0.73x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1.10x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2.39x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2.39x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0.08x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2.15x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DANAHER CORP /DE/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22874000.0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6272000.0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27.4%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0.46x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0.93x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0.05x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1.69x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2.10x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0.26x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0.34x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AGILENT TECHNOLOGIES, INC.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4700000.0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1854000.0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39.4%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18.18x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0.01x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-0.78x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48.59x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1.62x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0.34x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0.44x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IQVIA HOLDINGS INC.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8519000.0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2097000.0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24.6%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2.69x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6.38x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5.61x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1.00x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0.16x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4.79x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0.70x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0.14x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METTLER TOLEDO INTERNATIONAL INC/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3395796.0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1201825.0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37.2%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15.14x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-0.00x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872"/>
            <w:shd w:fill="D3D3D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AVERAGE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14069159.0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4257365.0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26.9%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9.34x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1.68x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1.01x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0.43x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13.21x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2.18x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0.27x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0.77x</w:t>
            </w:r>
          </w:p>
        </w:tc>
      </w:tr>
      <w:tr>
        <w:tc>
          <w:tcPr>
            <w:tcW w:type="dxa" w:w="872"/>
            <w:shd w:fill="D3D3D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MEDIAN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8519000.0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2097000.0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27.4%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8.91x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0.46x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0.00x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0.05x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2.04x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2.10x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0.26x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0.39x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9" w:h="16834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rFonts w:ascii="Calibri" w:hAnsi="Calibri"/>
        <w:sz w:val="18"/>
      </w:rPr>
      <w:t xml:space="preserve">Page </w:t>
    </w: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tabs>
        <w:tab w:pos="5954" w:val="center"/>
        <w:tab w:pos="11909" w:val="right"/>
      </w:tabs>
    </w:pPr>
    <w:r/>
    <w:r>
      <w:rPr>
        <w:rFonts w:ascii="Calibri" w:hAnsi="Calibri"/>
        <w:b/>
        <w:sz w:val="24"/>
      </w:rPr>
      <w:t>PGIM Private Capital</w:t>
    </w:r>
    <w:r>
      <w:tab/>
    </w:r>
    <w:r>
      <w:rPr>
        <w:rFonts w:ascii="Calibri" w:hAnsi="Calibri"/>
        <w:b/>
        <w:sz w:val="24"/>
      </w:rPr>
      <w:t>Annual Quality Rating Review</w:t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