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234"/>
        <w:gridCol w:w="5234"/>
      </w:tblGrid>
      <w:tr>
        <w:tc>
          <w:tcPr>
            <w:tcW w:type="dxa" w:w="5234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Key Credit Merits</w:t>
            </w:r>
          </w:p>
        </w:tc>
        <w:tc>
          <w:tcPr>
            <w:tcW w:type="dxa" w:w="5234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Key Credit Risks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Strong recurring revenue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Elevated leverage post-acquisitions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Robust global diversification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Integration and execution risk (large M&amp;A)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Solid liquidity and cash flow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Exposure to macro/geopolitical volatility</w:t>
            </w:r>
          </w:p>
        </w:tc>
      </w:tr>
    </w:tbl>
    <w:p/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8"/>
              </w:rPr>
              <w:t>WATERS CORP /DE/ - Capitalization Table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Item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Amount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PPC Holdings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Coupon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Secured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367,215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+ 80-112.5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 - Series K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3.44%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 - Series L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3.31%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 - Series M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3.53%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2029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 - Series 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1.68%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 - Series O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2031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 - Series P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4.91%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 - Series Q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4.91%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Debt Issuance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-3,034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1,456,966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2,159,812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3,616,778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WATERS CORP /DE/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1,497,333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1,822,070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1,988,169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1,903,050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1,844,176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1,844,176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9.1%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(4.3%)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(3.1%)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638,033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752,514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836,209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766,374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747,920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747,920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859,300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1,069,556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1,151,960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1,136,676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1,096,256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1,096,256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57.4%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57.9%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59.7%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59.4%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59.4%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705,062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802,469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840,582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943,517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920,265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920,265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169,171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161,598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172,987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202,773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236,534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236,534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814,660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983,305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1,046,382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1,020,449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1,062,887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1,062,887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54.4%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54.0%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52.6%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53.6%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57.6%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59.4%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49,070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44,938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48,797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98,861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89,677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89,677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89,343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113,350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130,091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94,009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117,034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117,034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108,361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140,008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276,770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(119,308)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(17,173)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(17,173)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(2,955)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12,038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2,228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(10,792)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(10,792)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172,384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161,266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175,921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160,632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142,481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142,481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618,123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586,008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435,740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442,177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619,642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619,642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(59,683)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218,084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77,993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(1,280,584)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3,676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3,676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(325,366)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160,000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60,000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780,000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(730,000)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(730,000)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(130,376)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(593,287)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(583,260)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(40,485)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16,825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16,825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(15,240)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(3,549)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(13,627)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(15,836)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(16,500)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(16,500)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100,980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64,539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(20,705)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(85,453)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(70,655)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(70,655)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436,695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501,234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480,529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395,076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324,421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1,356,515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1,513,870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1,574,878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2,355,513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1,626,488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2,005,761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232,144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367,554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504,488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1,150,341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1,828,507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16.60x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21.88x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21.44x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10.32x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11.85x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11.85x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1.67x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1.54x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1.51x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2.31x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1.53x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1.67x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1.54x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1.51x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2.31x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1.53x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6.28x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8.08x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8.26x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5.97x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6.88x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11.85x</w:t>
            </w:r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**Revenue** for FY2024 was $2,958.4M, flat versus the $2,956.4M of FY2023 and down 0.5% from FY2022. FY2024 saw instrument product sales decline 3% (driven by weak demand in China, particularly in LC and MS instruments), while precision chemistry consumables rose 4% and service revenue was up 6%. Ex-China, sales grew 2%. For the LTM period ended Q2 2025 (LTM: July 2024 – June 2025), rolling twelve-month revenue was $3,090M, up ~4% over FY2024 (Q2 2024 LTM: $2,976M), driven by a rebound in instrument sales and strong growth in recurring chemistry and service revenues. **Q2 2025 revenue was $1,433.0M YTD, up 7% YoY** for the comparable period.</w:t>
      </w:r>
    </w:p>
    <w:p>
      <w:pPr>
        <w:pStyle w:val="ListBullet"/>
      </w:pPr>
      <w:r>
        <w:rPr>
          <w:rFonts w:ascii="Calibri" w:hAnsi="Calibri"/>
          <w:sz w:val="20"/>
        </w:rPr>
        <w:t>Throughout FY2024, sharp declines in China (10% in 2024, 22% in 2023) offset steady growth elsewhere. The **Wyatt acquisition** (May 2023) contributed about 1% to total FY2024 revenue, helping expand into large-molecule and light scattering applications.</w:t>
      </w:r>
    </w:p>
    <w:p>
      <w:pPr>
        <w:pStyle w:val="ListBullet"/>
      </w:pPr>
      <w:r>
        <w:rPr>
          <w:rFonts w:ascii="Calibri" w:hAnsi="Calibri"/>
          <w:sz w:val="20"/>
        </w:rPr>
        <w:t>The **drivers of revenue** into FY2025 LTM were: (1) Rebounding demand in Asia ex-China and Europe; (2) Double-digit expansion in chemistry consumables due to customer pull-forward ahead of US-China tariffs ($8M chemistry sales presumably pulled into Q2 2025 in China); (3) Ongoing services growth across installed base; (4) Lapping severe China declines in the prior year; (5) Modest contribution from M&amp;A (Halo Labs acquisition in Q2 2025 for specialized imaging and aggregate detection tools).</w:t>
      </w:r>
    </w:p>
    <w:p>
      <w:pPr>
        <w:pStyle w:val="ListBullet"/>
      </w:pPr>
      <w:r>
        <w:rPr>
          <w:rFonts w:ascii="Calibri" w:hAnsi="Calibri"/>
          <w:sz w:val="20"/>
        </w:rPr>
        <w:t>The **EBITDA margin** (approximated as operating margin) for FY2024 was 27.9%, up slightly from 27.7% in FY2023 and down from 29.4% in FY2022. Drivers for FY2024 included cost savings from workforce reductions, strong chemistry/service mix, and the absence of 2023’s severance costs. Offsets included higher annual incentive compensation, full-year Wyatt amortization, and increased wage/SG&amp;A inflation. Margin pressure from declining high-margin instrument sales in China was partially offset by higher-margin recurring revenue. FX was a ~140bps margin headwind in 2024. For the LTM through Q2 2025, margins are tracking modestly higher due to stronger volumes, improved sales mix (recurring/chemistry), and lower incentive costs, partially offset by transaction costs (~$14M related to the pending BD Biosciences &amp; Diagnostics acquisition), higher ERP/IT investments, and some recovery in instrument mix.</w:t>
      </w:r>
    </w:p>
    <w:p>
      <w:pPr>
        <w:pStyle w:val="ListBullet"/>
      </w:pPr>
      <w:r>
        <w:rPr>
          <w:rFonts w:ascii="Calibri" w:hAnsi="Calibri"/>
          <w:sz w:val="20"/>
        </w:rPr>
        <w:t>Summary table: FY2024 Revenue $2,958.4M; Operating Income $826.4M (27.9% margin). LTM Q2 2025 Revenue ~$3,090M; Operating Income not disclosed, but Q2 YTD 2025 (first half): $340.0M on revenue of $1,433M (23.7% margin; Q2 24 = 26.7%, Q2 25 = 24.4%, reflecting increased costs/transaction expenses).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**FY2024 Free Cash Flow (FCF):** Operating cash flow $762M less capex/software $142M = $620M. FY2023 FCF = $603M – $161M = $442M. Q2 2025 LTM FCF is estimated at $800M – $185M = $615M (using 1H’25: $301M OCF, $48M capex, on track to $600M+ full-year). FCF conversion remains strong, recovering from 2023’s temporary impact from integration/acquisition costs, higher incentive payments, and working capital swings.</w:t>
      </w:r>
    </w:p>
    <w:p>
      <w:pPr>
        <w:pStyle w:val="ListBullet"/>
      </w:pPr>
      <w:r>
        <w:rPr>
          <w:rFonts w:ascii="Calibri" w:hAnsi="Calibri"/>
          <w:sz w:val="20"/>
        </w:rPr>
        <w:t>**Q2 2025 YTD**: Operating cash flow $301M, capex/software $48M; FCF $253M for half-year.</w:t>
      </w:r>
    </w:p>
    <w:p>
      <w:pPr>
        <w:pStyle w:val="ListBullet"/>
      </w:pPr>
      <w:r>
        <w:rPr>
          <w:rFonts w:ascii="Calibri" w:hAnsi="Calibri"/>
          <w:sz w:val="20"/>
        </w:rPr>
        <w:t>**Major M&amp;A:** In FY2023, Waters acquired Wyatt Technology (~$1.3B cash, closed May 2023, full year of consolidation from 2024). The LTM period (Q3 2024–Q2 2025) also includes the acquisition of Halo Labs (closed May 2025) for $35M (net of cash acquired, $24M to goodwill; $13M to intangible assets; $2M in customer relationships, $2M in developed technology; negligible impact on financials). In July 2025, Waters also signed a transformative (pending/unsigned) $17.5B deal to acquire BD’s Biosciences &amp; Diagnostics business (not closed; not reflected in LTM numbers). No other material acquisitions in LTM.</w:t>
      </w:r>
    </w:p>
    <w:p>
      <w:pPr>
        <w:pStyle w:val="ListBullet"/>
      </w:pPr>
      <w:r>
        <w:rPr>
          <w:rFonts w:ascii="Calibri" w:hAnsi="Calibri"/>
          <w:sz w:val="20"/>
        </w:rPr>
        <w:t>**Dividends:** No dividends paid in FY2022, FY2023, FY2024, or LTM.</w:t>
      </w:r>
    </w:p>
    <w:p>
      <w:pPr>
        <w:pStyle w:val="ListBullet"/>
      </w:pPr>
      <w:r>
        <w:rPr>
          <w:rFonts w:ascii="Calibri" w:hAnsi="Calibri"/>
          <w:sz w:val="20"/>
        </w:rPr>
        <w:t>Other key cash flow uses: Debt repayments of $900M in FY2024; $240M YTD Q2 LTM; ERP capex and software implementation ($130M projected through 2027; $7M spent YTD Q2 2025).</w:t>
      </w:r>
    </w:p>
    <w:p>
      <w:pPr>
        <w:pStyle w:val="ListBullet"/>
      </w:pPr>
      <w:r>
        <w:rPr>
          <w:rFonts w:ascii="Calibri" w:hAnsi="Calibri"/>
          <w:sz w:val="20"/>
        </w:rPr>
        <w:t>**Working capital:** Q2-2025 cash flow reflects working capital normalization, with strong customer advances and deferred revenue building to $420M (up from $320M at FY2024); inventory rising to $541M due to tariff-related safety stock and higher sales volume.</w:t>
      </w:r>
    </w:p>
    <w:p>
      <w:pPr>
        <w:pStyle w:val="ListBullet"/>
      </w:pPr>
      <w:r>
        <w:rPr>
          <w:rFonts w:ascii="Calibri" w:hAnsi="Calibri"/>
          <w:sz w:val="20"/>
        </w:rPr>
        <w:t>**Summary Table:** FY2024: OCF $762M, CapEx/software $142M, FCF $620M. FY2023: OCF $603M, CapEx/software $161M, FCF $442M. LTM Q2 2025 (estimate): OCF $800M, CapEx/software $185M, FCF $615M.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As of Q2 2025 (June 28, 2025), **total debt was $1,457M**, consisting of $260M current and $1,197M long-term debt. This is down from $1,627M at FY2024 and reflects accelerated debt repayment since the Wyatt acquisition. The **leverage ratio (Total Debt + Capitalized Operating Leases / EBITDAR)** at Q2 2025 is estimated at 1.6x–2.1x, assuming EBITDAR LTM ~$750–$900M (exact EBITDAR/LTM rent not disclosed; operating lease liabilities at $81M). This is an improvement from 2.2x–2.6x at the time of Wyatt closing. At FY2023, leverage was temporarily elevated (~2.8x–3.0x) due to the Wyatt transaction.</w:t>
      </w:r>
    </w:p>
    <w:p>
      <w:pPr>
        <w:pStyle w:val="ListBullet"/>
      </w:pPr>
      <w:r>
        <w:rPr>
          <w:rFonts w:ascii="Calibri" w:hAnsi="Calibri"/>
          <w:sz w:val="20"/>
        </w:rPr>
        <w:t>Cash and cash equivalents were **$367M** as of Q2 2025 (up from $325M at FY2024).</w:t>
      </w:r>
    </w:p>
    <w:p>
      <w:pPr>
        <w:pStyle w:val="ListBullet"/>
      </w:pPr>
      <w:r>
        <w:rPr>
          <w:rFonts w:ascii="Calibri" w:hAnsi="Calibri"/>
          <w:sz w:val="20"/>
        </w:rPr>
        <w:t>Revolver borrowing capacity as of Q2 2025 was $1.6B (total facility $1.8B, amended in May 2025). None drawn except $200M; up to $50M available for letters of credit.</w:t>
      </w:r>
    </w:p>
    <w:p>
      <w:pPr>
        <w:pStyle w:val="ListBullet"/>
      </w:pPr>
      <w:r>
        <w:rPr>
          <w:rFonts w:ascii="Calibri" w:hAnsi="Calibri"/>
          <w:sz w:val="20"/>
        </w:rPr>
        <w:t>**Liquidity** (cash + undrawn revolver**): $367M + $1,600M = $1,967M at Q2 2025.</w:t>
      </w:r>
    </w:p>
    <w:p>
      <w:pPr>
        <w:pStyle w:val="ListBullet"/>
      </w:pPr>
      <w:r>
        <w:rPr>
          <w:rFonts w:ascii="Calibri" w:hAnsi="Calibri"/>
          <w:sz w:val="20"/>
        </w:rPr>
        <w:t>**Stockholders’ equity** at Q2 2025 was $2,160M, improved from $1,829M at FY2024 due to retained earnings growth and positive FX other comprehensive income.</w:t>
      </w:r>
    </w:p>
    <w:p>
      <w:pPr>
        <w:pStyle w:val="ListBullet"/>
      </w:pPr>
      <w:r>
        <w:rPr>
          <w:rFonts w:ascii="Calibri" w:hAnsi="Calibri"/>
          <w:sz w:val="20"/>
        </w:rPr>
        <w:t>**Dividends:** Waters has not declared or paid any cash dividends in FY2022, 2023, 2024, or the LTM period, and continues to have a policy of no common stock dividends.</w:t>
      </w:r>
    </w:p>
    <w:p>
      <w:pPr>
        <w:pStyle w:val="ListBullet"/>
      </w:pPr>
      <w:r>
        <w:rPr>
          <w:rFonts w:ascii="Calibri" w:hAnsi="Calibri"/>
          <w:sz w:val="20"/>
        </w:rPr>
        <w:t>**Share repurchase:** No open market repurchases in FY2024 or YTD 2025. Repurchases only for share-based compensation vesting ($13M in FY2024, $14M YTD Q2 2025). Board authorization for $1.0B remains through 2028.</w:t>
      </w:r>
    </w:p>
    <w:p>
      <w:pPr>
        <w:pStyle w:val="ListBullet"/>
      </w:pPr>
      <w:r>
        <w:rPr>
          <w:rFonts w:ascii="Calibri" w:hAnsi="Calibri"/>
          <w:sz w:val="20"/>
        </w:rPr>
        <w:t>Balance Sheet Table: Q2 2025: Cash $367M, Total Debt $1,457M, Equity $2,160M | FY2024: Cash $324M, Total Debt $1,626M, Equity $1,829M</w:t>
      </w:r>
    </w:p>
    <w:p/>
    <w:p>
      <w:pPr>
        <w:jc w:val="center"/>
      </w:pP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35900608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</w:tblGrid>
      <w:tr>
        <w:tc>
          <w:tcPr>
            <w:tcW w:type="dxa" w:w="1046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WATERS CORP /DE/ - Credit Comparable Analysis</w:t>
            </w:r>
          </w:p>
        </w:tc>
      </w:tr>
      <w:tr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1744"/>
            <w:gridSpan w:val="2"/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LTM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</w:tr>
      <w:tr>
        <w:tc>
          <w:tcPr>
            <w:tcW w:type="dxa" w:w="872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Ticker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Rev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EBITDA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</w:t>
              <w:br/>
              <w:t>Mrgn %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EBITDAR</w:t>
              <w:br/>
              <w:t>(Int + Rents)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(Net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Tot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(FCF + Rents)</w:t>
              <w:br/>
              <w:t>(Tot Debt + COL)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Total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WATERS CORP /DE/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1869042.0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1046160.0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56.0%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13.34x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0.08x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-0.14x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1.02x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DANAHER CORP /DE/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22874000.0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6272000.0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27.4%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0.93x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1.69x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2.10x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0.26x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0.34x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AGILENT TECHNOLOGIES, INC.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4700000.0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1854000.0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39.4%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18.18x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-0.78x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48.59x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1.62x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0.34x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IQVIA HOLDINGS INC.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8519000.0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2097000.0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24.6%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2.69x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6.38x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5.61x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4.79x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0.70x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METTLER TOLEDO INTERNATIONAL INC/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3395796.0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1201825.0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37.2%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15.14x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8271567.0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2494197.0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36.9%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12.34x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1.39x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1.13x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0.41x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12.61x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2.13x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0.31x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4700000.0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1854000.0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37.2%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14.24x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0.08x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0.05x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0.93x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1.86x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0.34x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