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98977" w14:textId="7E9BCE16" w:rsidR="006136EF" w:rsidRDefault="005A4E11" w:rsidP="005A4E11">
      <w:pPr>
        <w:jc w:val="center"/>
        <w:rPr>
          <w:sz w:val="36"/>
          <w:szCs w:val="36"/>
          <w:u w:val="single"/>
        </w:rPr>
      </w:pPr>
      <w:r w:rsidRPr="005A4E11">
        <w:rPr>
          <w:sz w:val="36"/>
          <w:szCs w:val="36"/>
          <w:u w:val="single"/>
        </w:rPr>
        <w:t xml:space="preserve">Hospital </w:t>
      </w:r>
      <w:r w:rsidR="00A961DE">
        <w:rPr>
          <w:sz w:val="36"/>
          <w:szCs w:val="36"/>
          <w:u w:val="single"/>
        </w:rPr>
        <w:t>Data</w:t>
      </w:r>
      <w:r w:rsidRPr="005A4E11">
        <w:rPr>
          <w:sz w:val="36"/>
          <w:szCs w:val="36"/>
          <w:u w:val="single"/>
        </w:rPr>
        <w:t xml:space="preserve">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7296"/>
        <w:gridCol w:w="2573"/>
      </w:tblGrid>
      <w:tr w:rsidR="00627976" w14:paraId="6F0FC01D" w14:textId="77777777" w:rsidTr="00A961D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1D1D1" w:themeFill="background2" w:themeFillShade="E6"/>
          </w:tcPr>
          <w:p w14:paraId="387AA595" w14:textId="6BEB9FAE" w:rsidR="00A65A4A" w:rsidRPr="00A65A4A" w:rsidRDefault="00A65A4A" w:rsidP="005A4E11">
            <w:pPr>
              <w:rPr>
                <w:b/>
                <w:bCs/>
                <w:sz w:val="32"/>
                <w:szCs w:val="32"/>
              </w:rPr>
            </w:pPr>
            <w:r w:rsidRPr="00A65A4A">
              <w:rPr>
                <w:b/>
                <w:bCs/>
                <w:sz w:val="32"/>
                <w:szCs w:val="32"/>
              </w:rPr>
              <w:t>Note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1D1D1" w:themeFill="background2" w:themeFillShade="E6"/>
          </w:tcPr>
          <w:p w14:paraId="542F0F88" w14:textId="1A21CEDC" w:rsidR="00A65A4A" w:rsidRPr="00A65A4A" w:rsidRDefault="00A65A4A" w:rsidP="005A4E11">
            <w:pPr>
              <w:rPr>
                <w:b/>
                <w:bCs/>
                <w:sz w:val="32"/>
                <w:szCs w:val="32"/>
              </w:rPr>
            </w:pPr>
            <w:r w:rsidRPr="00A65A4A">
              <w:rPr>
                <w:b/>
                <w:bCs/>
                <w:sz w:val="32"/>
                <w:szCs w:val="32"/>
              </w:rPr>
              <w:t>Measure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2C73BC69" w14:textId="0256EE1C" w:rsidR="00A65A4A" w:rsidRPr="00A65A4A" w:rsidRDefault="00A65A4A" w:rsidP="005A4E11">
            <w:pPr>
              <w:rPr>
                <w:b/>
                <w:bCs/>
                <w:sz w:val="32"/>
                <w:szCs w:val="32"/>
              </w:rPr>
            </w:pPr>
            <w:r w:rsidRPr="00A65A4A">
              <w:rPr>
                <w:b/>
                <w:bCs/>
                <w:sz w:val="32"/>
                <w:szCs w:val="32"/>
              </w:rPr>
              <w:t>Data Source</w:t>
            </w:r>
          </w:p>
        </w:tc>
      </w:tr>
      <w:tr w:rsidR="00A65A4A" w14:paraId="6C058071" w14:textId="77777777" w:rsidTr="009D3521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AE9F7" w:themeFill="text2" w:themeFillTint="1A"/>
          </w:tcPr>
          <w:p w14:paraId="5819ACC2" w14:textId="0C74E16B" w:rsidR="00A65A4A" w:rsidRDefault="00A65A4A" w:rsidP="00A65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Insurance Representation</w:t>
            </w:r>
          </w:p>
        </w:tc>
      </w:tr>
      <w:tr w:rsidR="00515772" w14:paraId="5385F5B5" w14:textId="77777777" w:rsidTr="00FA6D8B"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990B34" w14:textId="5B9B1831" w:rsidR="00515772" w:rsidRDefault="00515772" w:rsidP="005157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(1)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0378F1" w14:textId="4C7A0D0B" w:rsidR="00515772" w:rsidRDefault="00515772" w:rsidP="005157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Medicaid Caseload: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20435E50" w14:textId="01533518" w:rsidR="00515772" w:rsidRDefault="00515772" w:rsidP="005157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515772" w14:paraId="28E75169" w14:textId="77777777" w:rsidTr="00FA6D8B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CA6EB" w14:textId="4B1F0C00" w:rsidR="00515772" w:rsidRPr="00171F17" w:rsidRDefault="00515772" w:rsidP="0051577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4BEB" w14:textId="702881E1" w:rsidR="00515772" w:rsidRPr="00171F17" w:rsidRDefault="00515772" w:rsidP="00515772">
            <w:r w:rsidRPr="00A65A4A">
              <w:rPr>
                <w:sz w:val="24"/>
                <w:szCs w:val="24"/>
                <w:lang w:val="en-US"/>
              </w:rPr>
              <w:t>Percentage of discharges covered by only Medicaid.</w:t>
            </w:r>
          </w:p>
        </w:tc>
      </w:tr>
      <w:tr w:rsidR="00515772" w14:paraId="32A2FFE6" w14:textId="77777777" w:rsidTr="00FA6D8B">
        <w:tc>
          <w:tcPr>
            <w:tcW w:w="92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DBBA023" w14:textId="3CCB06FE" w:rsidR="00515772" w:rsidRDefault="00515772" w:rsidP="00515772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(1), </w:t>
            </w:r>
            <w:r w:rsidRPr="00A65A4A">
              <w:rPr>
                <w:sz w:val="24"/>
                <w:szCs w:val="24"/>
              </w:rPr>
              <w:t>(2)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D2AF738" w14:textId="18991286" w:rsidR="00515772" w:rsidRDefault="00515772" w:rsidP="005157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Disproportionate</w:t>
            </w:r>
            <w:r w:rsidRPr="005A4E11">
              <w:rPr>
                <w:b/>
                <w:bCs/>
                <w:sz w:val="24"/>
                <w:szCs w:val="24"/>
              </w:rPr>
              <w:t xml:space="preserve"> Share Percentage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top w:val="single" w:sz="4" w:space="0" w:color="auto"/>
            </w:tcBorders>
          </w:tcPr>
          <w:p w14:paraId="045B0387" w14:textId="4368560D" w:rsidR="00515772" w:rsidRDefault="00515772" w:rsidP="005157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515772" w14:paraId="00EFBFFF" w14:textId="77777777" w:rsidTr="00FA6D8B">
        <w:tc>
          <w:tcPr>
            <w:tcW w:w="9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BAB7" w14:textId="77777777" w:rsidR="00515772" w:rsidRPr="00A65A4A" w:rsidRDefault="00515772" w:rsidP="0051577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4BA137B" w14:textId="77777777" w:rsidR="00515772" w:rsidRPr="00621589" w:rsidRDefault="00515772" w:rsidP="00515772">
            <w:pPr>
              <w:rPr>
                <w:sz w:val="24"/>
                <w:szCs w:val="24"/>
              </w:rPr>
            </w:pPr>
            <w:r w:rsidRPr="00112306">
              <w:rPr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18A1898" wp14:editId="69DE60EC">
                  <wp:simplePos x="0" y="0"/>
                  <wp:positionH relativeFrom="column">
                    <wp:posOffset>1162685</wp:posOffset>
                  </wp:positionH>
                  <wp:positionV relativeFrom="paragraph">
                    <wp:posOffset>186690</wp:posOffset>
                  </wp:positionV>
                  <wp:extent cx="3220720" cy="889000"/>
                  <wp:effectExtent l="0" t="0" r="0" b="6350"/>
                  <wp:wrapTight wrapText="bothSides">
                    <wp:wrapPolygon edited="0">
                      <wp:start x="3577" y="1389"/>
                      <wp:lineTo x="128" y="2314"/>
                      <wp:lineTo x="256" y="8794"/>
                      <wp:lineTo x="10732" y="9720"/>
                      <wp:lineTo x="0" y="12034"/>
                      <wp:lineTo x="0" y="13423"/>
                      <wp:lineTo x="10732" y="17126"/>
                      <wp:lineTo x="511" y="18051"/>
                      <wp:lineTo x="511" y="21291"/>
                      <wp:lineTo x="6516" y="21291"/>
                      <wp:lineTo x="18525" y="21291"/>
                      <wp:lineTo x="19420" y="20829"/>
                      <wp:lineTo x="18909" y="18514"/>
                      <wp:lineTo x="10732" y="17126"/>
                      <wp:lineTo x="20953" y="13423"/>
                      <wp:lineTo x="20953" y="12034"/>
                      <wp:lineTo x="10732" y="9720"/>
                      <wp:lineTo x="20953" y="5554"/>
                      <wp:lineTo x="20697" y="2314"/>
                      <wp:lineTo x="4088" y="1389"/>
                      <wp:lineTo x="3577" y="1389"/>
                    </wp:wrapPolygon>
                  </wp:wrapTight>
                  <wp:docPr id="1026" name="Picture 2" descr="A close-up of a medical for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E8772B8-5982-E077-572D-B464CFC3811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A close-up of a medical for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E8772B8-5982-E077-572D-B464CFC3811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720" cy="88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621589">
              <w:rPr>
                <w:sz w:val="24"/>
                <w:szCs w:val="24"/>
                <w:lang w:val="en-US"/>
              </w:rPr>
              <w:t>Measures the “proportion” of patients receiving some form of Government financial support.</w:t>
            </w:r>
          </w:p>
          <w:p w14:paraId="5B810D80" w14:textId="36615762" w:rsidR="00515772" w:rsidRPr="00A65A4A" w:rsidRDefault="00515772" w:rsidP="00515772">
            <w:pPr>
              <w:rPr>
                <w:sz w:val="24"/>
                <w:szCs w:val="24"/>
              </w:rPr>
            </w:pPr>
          </w:p>
        </w:tc>
      </w:tr>
      <w:tr w:rsidR="00515772" w14:paraId="5FD44316" w14:textId="77777777" w:rsidTr="00A961DE"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EEC513" w14:textId="6B625E58" w:rsidR="00515772" w:rsidRPr="00FA4264" w:rsidRDefault="00515772" w:rsidP="009F54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(1)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0B501A" w14:textId="731CC1A0" w:rsidR="00515772" w:rsidRPr="00A65A4A" w:rsidRDefault="00515772" w:rsidP="009F54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Caseload: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590CEC5B" w14:textId="313D1E86" w:rsidR="00515772" w:rsidRDefault="00515772" w:rsidP="009F54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515772" w14:paraId="63DC872F" w14:textId="77777777" w:rsidTr="00F2649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09686" w14:textId="77777777" w:rsidR="00515772" w:rsidRPr="00FA4264" w:rsidRDefault="00515772" w:rsidP="009F54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7F19" w14:textId="10C8B6DA" w:rsidR="00515772" w:rsidRPr="00A65A4A" w:rsidRDefault="00515772" w:rsidP="009F54D5">
            <w:pPr>
              <w:rPr>
                <w:b/>
                <w:bCs/>
                <w:sz w:val="24"/>
                <w:szCs w:val="24"/>
              </w:rPr>
            </w:pPr>
            <w:r w:rsidRPr="00171F17">
              <w:rPr>
                <w:sz w:val="24"/>
                <w:szCs w:val="24"/>
                <w:lang w:val="en-US"/>
              </w:rPr>
              <w:t>Percentage of discharges covered by Medicare, or Medicaid. (Note: this does not include Veterans Affairs health coverage)</w:t>
            </w:r>
          </w:p>
        </w:tc>
        <w:tc>
          <w:tcPr>
            <w:tcW w:w="2573" w:type="dxa"/>
          </w:tcPr>
          <w:p w14:paraId="3397DBEB" w14:textId="77777777" w:rsidR="00515772" w:rsidRDefault="00515772" w:rsidP="009F54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A4264" w14:paraId="504219DB" w14:textId="77777777" w:rsidTr="00A961DE"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37F6BB" w14:textId="7E488767" w:rsidR="00FA4264" w:rsidRPr="00FA4264" w:rsidRDefault="00FA4264" w:rsidP="00FA4264">
            <w:pPr>
              <w:jc w:val="center"/>
              <w:rPr>
                <w:sz w:val="24"/>
                <w:szCs w:val="24"/>
              </w:rPr>
            </w:pPr>
            <w:r w:rsidRPr="00FA4264">
              <w:rPr>
                <w:sz w:val="24"/>
                <w:szCs w:val="24"/>
              </w:rPr>
              <w:t>(3)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75B4F7" w14:textId="3E1FA286" w:rsidR="00FA4264" w:rsidRDefault="00FA4264" w:rsidP="00A65A4A">
            <w:pPr>
              <w:rPr>
                <w:b/>
                <w:bCs/>
                <w:sz w:val="24"/>
                <w:szCs w:val="24"/>
              </w:rPr>
            </w:pPr>
            <w:r w:rsidRPr="00A65A4A">
              <w:rPr>
                <w:b/>
                <w:bCs/>
                <w:sz w:val="24"/>
                <w:szCs w:val="24"/>
              </w:rPr>
              <w:t>Percentage of Service Area Under Public Insurance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3FAC4E3C" w14:textId="5AC13222" w:rsidR="00FA4264" w:rsidRDefault="00FA4264" w:rsidP="00A65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FA4264" w14:paraId="75C5C240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4993FA" w14:textId="77777777" w:rsidR="00FA4264" w:rsidRDefault="00FA4264" w:rsidP="00A65A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D95B" w14:textId="77777777" w:rsidR="00FA4264" w:rsidRDefault="00FA4264" w:rsidP="00FA4264">
            <w:pPr>
              <w:rPr>
                <w:sz w:val="24"/>
                <w:szCs w:val="24"/>
              </w:rPr>
            </w:pPr>
            <w:r w:rsidRPr="00FA4264">
              <w:rPr>
                <w:sz w:val="24"/>
                <w:szCs w:val="24"/>
                <w:lang w:val="en-US"/>
              </w:rPr>
              <w:t>Percentage of the population covered by Medicare, Medicaid, TRICARE (military health coverage), or Veteran’s Affairs health coverage.</w:t>
            </w:r>
            <w:r>
              <w:rPr>
                <w:sz w:val="24"/>
                <w:szCs w:val="24"/>
              </w:rPr>
              <w:t xml:space="preserve"> </w:t>
            </w:r>
          </w:p>
          <w:p w14:paraId="387B85B8" w14:textId="58953DAC" w:rsidR="00FA4264" w:rsidRPr="00FA4264" w:rsidRDefault="00FA4264" w:rsidP="00FA4264">
            <w:pPr>
              <w:rPr>
                <w:sz w:val="24"/>
                <w:szCs w:val="24"/>
              </w:rPr>
            </w:pPr>
            <w:r w:rsidRPr="00FA4264">
              <w:rPr>
                <w:sz w:val="24"/>
                <w:szCs w:val="24"/>
                <w:lang w:val="en-US"/>
              </w:rPr>
              <w:t>(Note: a person can be covered under multiple plans, including a mix of public and private)</w:t>
            </w:r>
          </w:p>
        </w:tc>
      </w:tr>
      <w:tr w:rsidR="00FA4264" w14:paraId="2FA22B66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953DBD" w14:textId="77777777" w:rsidR="00FA4264" w:rsidRDefault="00FA4264" w:rsidP="00A65A4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35F2DE" w14:textId="3BFD86F9" w:rsidR="00FA4264" w:rsidRDefault="00FA4264" w:rsidP="00A65A4A">
            <w:pPr>
              <w:rPr>
                <w:b/>
                <w:bCs/>
                <w:sz w:val="24"/>
                <w:szCs w:val="24"/>
              </w:rPr>
            </w:pPr>
            <w:r w:rsidRPr="00A65A4A">
              <w:rPr>
                <w:b/>
                <w:bCs/>
                <w:sz w:val="24"/>
                <w:szCs w:val="24"/>
              </w:rPr>
              <w:t>Percentage of Service Area Under Private Insurance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09B2E905" w14:textId="2BEECB49" w:rsidR="00FA4264" w:rsidRDefault="00FA4264" w:rsidP="00A65A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FA4264" w14:paraId="2C1A2B95" w14:textId="77777777" w:rsidTr="00A961DE">
        <w:tc>
          <w:tcPr>
            <w:tcW w:w="9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7998" w14:textId="77777777" w:rsidR="00FA4264" w:rsidRDefault="00FA4264" w:rsidP="00A65A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BAEC" w14:textId="77777777" w:rsidR="00FA4264" w:rsidRPr="00FA4264" w:rsidRDefault="00FA4264" w:rsidP="00FA4264">
            <w:pPr>
              <w:rPr>
                <w:sz w:val="24"/>
                <w:szCs w:val="24"/>
              </w:rPr>
            </w:pPr>
            <w:r w:rsidRPr="00FA4264">
              <w:rPr>
                <w:sz w:val="24"/>
                <w:szCs w:val="24"/>
                <w:lang w:val="en-US"/>
              </w:rPr>
              <w:t>Percentage of the population covered under employer-based or direct-purchase health insurance.</w:t>
            </w:r>
          </w:p>
          <w:p w14:paraId="0C86D807" w14:textId="25ACF38F" w:rsidR="00FA4264" w:rsidRPr="00FA4264" w:rsidRDefault="00FA4264" w:rsidP="00A65A4A">
            <w:pPr>
              <w:rPr>
                <w:sz w:val="24"/>
                <w:szCs w:val="24"/>
              </w:rPr>
            </w:pPr>
            <w:r w:rsidRPr="00FA4264">
              <w:rPr>
                <w:sz w:val="24"/>
                <w:szCs w:val="24"/>
                <w:lang w:val="en-US"/>
              </w:rPr>
              <w:t>(Note: a person can be covered under multiple plans, including a mix of public and private)</w:t>
            </w:r>
          </w:p>
        </w:tc>
      </w:tr>
      <w:tr w:rsidR="00FA4264" w14:paraId="1893F633" w14:textId="77777777" w:rsidTr="009D3521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AE9F7" w:themeFill="text2" w:themeFillTint="1A"/>
          </w:tcPr>
          <w:p w14:paraId="7D2892C8" w14:textId="355B0F85" w:rsidR="00FA4264" w:rsidRDefault="00FA4264" w:rsidP="00FA42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Service Area Characteristics</w:t>
            </w:r>
          </w:p>
        </w:tc>
      </w:tr>
      <w:tr w:rsidR="00371C1A" w14:paraId="5C4E9376" w14:textId="77777777" w:rsidTr="00A961DE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D8C539" w14:textId="77777777" w:rsidR="00371C1A" w:rsidRDefault="00371C1A" w:rsidP="00371C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173A0A" w14:textId="1F0AE659" w:rsidR="00371C1A" w:rsidRPr="007004E5" w:rsidRDefault="00371C1A" w:rsidP="00371C1A">
            <w:pPr>
              <w:rPr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Service Area Households Under the Federal Poverty Level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5D1A7D87" w14:textId="30D61630" w:rsidR="00371C1A" w:rsidRDefault="00371C1A" w:rsidP="00371C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371C1A" w14:paraId="5B1FBC49" w14:textId="77777777" w:rsidTr="00A961DE">
        <w:tc>
          <w:tcPr>
            <w:tcW w:w="9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CD7FC4" w14:textId="08C7951F" w:rsidR="00371C1A" w:rsidRPr="009D3521" w:rsidRDefault="00371C1A" w:rsidP="00371C1A">
            <w:pPr>
              <w:jc w:val="center"/>
              <w:rPr>
                <w:sz w:val="24"/>
                <w:szCs w:val="24"/>
              </w:rPr>
            </w:pPr>
            <w:r w:rsidRPr="009D3521">
              <w:rPr>
                <w:sz w:val="24"/>
                <w:szCs w:val="24"/>
              </w:rPr>
              <w:t>(3)</w:t>
            </w: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AE5E" w14:textId="77777777" w:rsidR="00371C1A" w:rsidRDefault="00371C1A" w:rsidP="00371C1A">
            <w:pPr>
              <w:rPr>
                <w:sz w:val="24"/>
                <w:szCs w:val="24"/>
              </w:rPr>
            </w:pPr>
            <w:r w:rsidRPr="007004E5">
              <w:rPr>
                <w:sz w:val="24"/>
                <w:szCs w:val="24"/>
                <w:lang w:val="en-US"/>
              </w:rPr>
              <w:t>Percent of households with income below the minimum income that a person or family requires to meet their basic needs.</w:t>
            </w:r>
          </w:p>
          <w:p w14:paraId="63414C79" w14:textId="59B4EAF1" w:rsidR="00371C1A" w:rsidRDefault="00371C1A" w:rsidP="00371C1A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(Note: FPL varies by household size)</w:t>
            </w:r>
          </w:p>
        </w:tc>
      </w:tr>
      <w:tr w:rsidR="00371C1A" w14:paraId="2046944E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BD3ABF" w14:textId="77777777" w:rsidR="00371C1A" w:rsidRDefault="00371C1A" w:rsidP="00371C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B32555" w14:textId="37EF873A" w:rsidR="00371C1A" w:rsidRDefault="00371C1A" w:rsidP="00371C1A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Service Area (Over 16) in Labour Force but Unemployed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56AC04F2" w14:textId="7B238D84" w:rsidR="00371C1A" w:rsidRDefault="00371C1A" w:rsidP="00371C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371C1A" w14:paraId="4183433E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113DCF" w14:textId="77777777" w:rsidR="00371C1A" w:rsidRPr="00171F17" w:rsidRDefault="00371C1A" w:rsidP="00371C1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8EF5" w14:textId="1DF8EBCE" w:rsidR="00371C1A" w:rsidRPr="007004E5" w:rsidRDefault="00371C1A" w:rsidP="00371C1A">
            <w:pPr>
              <w:rPr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Percentage of population (over 16) who are currently not employed but are actively searching for work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526E87" w14:paraId="4FC44740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A247BC" w14:textId="77777777" w:rsidR="00526E87" w:rsidRDefault="00526E87" w:rsidP="00526E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A54E72" w14:textId="6A096328" w:rsidR="00526E87" w:rsidRDefault="00526E87" w:rsidP="00526E87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Service Area (Over 16) Not Employed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3EBF664C" w14:textId="052DEAF3" w:rsidR="00526E87" w:rsidRDefault="00526E87" w:rsidP="00526E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526E87" w14:paraId="02499FB6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2AE376" w14:textId="77777777" w:rsidR="00526E87" w:rsidRPr="00171F17" w:rsidRDefault="00526E87" w:rsidP="00526E8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0FEC" w14:textId="4D9B1197" w:rsidR="00526E87" w:rsidRDefault="00526E87" w:rsidP="00526E87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Percentage of population (over 16) who are currently not employed (who may or may not be searching for work).</w:t>
            </w:r>
          </w:p>
        </w:tc>
      </w:tr>
      <w:tr w:rsidR="001E5A1D" w14:paraId="74F9793F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4AF04C" w14:textId="77777777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F1759F" w14:textId="792E388E" w:rsidR="001E5A1D" w:rsidRPr="009D3521" w:rsidRDefault="001E5A1D" w:rsidP="001E5A1D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Service Area that Commutes over 60 Minutes to Work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3239F85B" w14:textId="7D3CA747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1E5A1D" w14:paraId="7C8C4DF8" w14:textId="77777777" w:rsidTr="008F3AA2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25FF94" w14:textId="77777777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E62BA28" w14:textId="1AEA58BD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Percentage of the workers over 16 whose travel time to work is over 60 minutes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1E5A1D" w14:paraId="1441EA19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A8EFE7" w14:textId="77777777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D01214" w14:textId="3269A4D1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Service Area Households without Access to a Vehicle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48523180" w14:textId="19E4A2EC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1E5A1D" w14:paraId="65C2BFA1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F1D197" w14:textId="77777777" w:rsidR="001E5A1D" w:rsidRPr="00171F17" w:rsidRDefault="001E5A1D" w:rsidP="001E5A1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84F0" w14:textId="734AF12A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Percentage of households without a vehicle.</w:t>
            </w:r>
          </w:p>
        </w:tc>
      </w:tr>
      <w:tr w:rsidR="00726DA1" w14:paraId="5EA3191C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0A11A1" w14:textId="77777777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36FE36" w14:textId="1C9EE258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Service Area Households Renting Their Home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00C347B8" w14:textId="165E1473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726DA1" w14:paraId="34EE5336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4F30BB" w14:textId="77777777" w:rsidR="00726DA1" w:rsidRPr="00171F17" w:rsidRDefault="00726DA1" w:rsidP="00726D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384B" w14:textId="32434862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Percentage of households that rent their home.</w:t>
            </w:r>
          </w:p>
        </w:tc>
      </w:tr>
      <w:tr w:rsidR="00726DA1" w14:paraId="5A07BB40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6C9418" w14:textId="77777777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DC0B99" w14:textId="1079AF3C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  <w:r w:rsidRPr="00AC76DD">
              <w:rPr>
                <w:b/>
                <w:bCs/>
                <w:sz w:val="24"/>
                <w:szCs w:val="24"/>
              </w:rPr>
              <w:t>Percentage of Service Area Living with more than 1 Person per Room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21B5E465" w14:textId="27445416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726DA1" w14:paraId="5500135F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E804FF" w14:textId="77777777" w:rsidR="00726DA1" w:rsidRPr="00171F17" w:rsidRDefault="00726DA1" w:rsidP="00726D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38CF" w14:textId="035A87D1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  <w:r w:rsidRPr="002F735D">
              <w:rPr>
                <w:sz w:val="24"/>
                <w:szCs w:val="24"/>
                <w:lang w:val="en-US"/>
              </w:rPr>
              <w:t>Percentage of households with more people than rooms.</w:t>
            </w:r>
          </w:p>
        </w:tc>
      </w:tr>
      <w:tr w:rsidR="00726DA1" w14:paraId="73274A7D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0F28D6" w14:textId="77777777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AEE585" w14:textId="6DDEC65B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Service Area (Over 25) with a High School Diploma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53A81B2C" w14:textId="218192BC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26DA1" w14:paraId="6D8BF37A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FE95B9" w14:textId="77777777" w:rsidR="00726DA1" w:rsidRPr="00171F17" w:rsidRDefault="00726DA1" w:rsidP="00726D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1072" w14:textId="6EA1CE2C" w:rsidR="00726DA1" w:rsidRDefault="00726DA1" w:rsidP="00726DA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 of</w:t>
            </w:r>
            <w:r w:rsidR="00B47FA9">
              <w:rPr>
                <w:sz w:val="24"/>
                <w:szCs w:val="24"/>
              </w:rPr>
              <w:t xml:space="preserve"> population (over 25) that has graduated from high school.</w:t>
            </w:r>
          </w:p>
        </w:tc>
      </w:tr>
      <w:tr w:rsidR="00B47FA9" w14:paraId="09163A2D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CF4786" w14:textId="77777777" w:rsidR="00B47FA9" w:rsidRDefault="00B47FA9" w:rsidP="00B47F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AEFD11" w14:textId="6BF2CA7E" w:rsidR="00B47FA9" w:rsidRDefault="00B47FA9" w:rsidP="00B47FA9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 xml:space="preserve">Percentage of Service Area </w:t>
            </w:r>
            <w:r>
              <w:rPr>
                <w:b/>
                <w:bCs/>
                <w:sz w:val="24"/>
                <w:szCs w:val="24"/>
              </w:rPr>
              <w:t xml:space="preserve">Households </w:t>
            </w:r>
            <w:r w:rsidRPr="009D3521">
              <w:rPr>
                <w:b/>
                <w:bCs/>
                <w:sz w:val="24"/>
                <w:szCs w:val="24"/>
              </w:rPr>
              <w:t>without Home Access to a Computer with Internet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642F63D8" w14:textId="5C4F2CE5" w:rsidR="00B47FA9" w:rsidRDefault="00B47FA9" w:rsidP="00B47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B47FA9" w14:paraId="4A41AA93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A45967" w14:textId="77777777" w:rsidR="00B47FA9" w:rsidRPr="00171F17" w:rsidRDefault="00B47FA9" w:rsidP="00B47FA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B3B3" w14:textId="647A4766" w:rsidR="00B47FA9" w:rsidRDefault="00B47FA9" w:rsidP="00B47FA9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Percentage of households with either, no computer or a computer but no internet.</w:t>
            </w:r>
          </w:p>
        </w:tc>
      </w:tr>
      <w:tr w:rsidR="001E5A1D" w14:paraId="69A21921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E107F0" w14:textId="77777777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FE55CB" w14:textId="1095B23C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Service Area (Over 18) Not Proficient in English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342E2730" w14:textId="59E36D08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1E5A1D" w14:paraId="3042AE22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061FA1" w14:textId="77777777" w:rsidR="001E5A1D" w:rsidRPr="00171F17" w:rsidRDefault="001E5A1D" w:rsidP="001E5A1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ED20" w14:textId="04DA9F75" w:rsidR="001E5A1D" w:rsidRDefault="001E5A1D" w:rsidP="001E5A1D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Percentage of population (over 18) who rate their ability to speak English as either “not well”, or “not at all.”</w:t>
            </w:r>
          </w:p>
        </w:tc>
      </w:tr>
      <w:tr w:rsidR="00B47FA9" w14:paraId="0E42C46A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22B71" w14:textId="77777777" w:rsidR="00B47FA9" w:rsidRDefault="00B47FA9" w:rsidP="00B47F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8953A9" w14:textId="1CE5C915" w:rsidR="00B47FA9" w:rsidRPr="009D3521" w:rsidRDefault="00B47FA9" w:rsidP="00B47FA9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Service Area Households with a Single Parent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095B4A6C" w14:textId="365FDD95" w:rsidR="00B47FA9" w:rsidRDefault="00B47FA9" w:rsidP="00B47F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B47FA9" w14:paraId="5DEE5163" w14:textId="77777777" w:rsidTr="00BB6B52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C38134" w14:textId="77777777" w:rsidR="00B47FA9" w:rsidRDefault="00B47FA9" w:rsidP="00B47F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38D" w14:textId="16C46463" w:rsidR="00B47FA9" w:rsidRDefault="00B47FA9" w:rsidP="00B47FA9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Percentage of households with a single parent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9D3521" w14:paraId="31281758" w14:textId="77777777" w:rsidTr="00A961DE"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A2BD85" w14:textId="77777777" w:rsidR="009D3521" w:rsidRDefault="009D3521" w:rsidP="009D3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0C1A04" w14:textId="31A04B7E" w:rsidR="009D3521" w:rsidRDefault="009D3521" w:rsidP="009D3521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Service Area who are Veterans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474EB2A4" w14:textId="0BD868C9" w:rsidR="009D3521" w:rsidRDefault="009D3521" w:rsidP="009D35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Census ACS</w:t>
            </w:r>
          </w:p>
        </w:tc>
      </w:tr>
      <w:tr w:rsidR="009D3521" w14:paraId="1DFFF44F" w14:textId="77777777" w:rsidTr="00A961DE">
        <w:tc>
          <w:tcPr>
            <w:tcW w:w="9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3A7D" w14:textId="77777777" w:rsidR="009D3521" w:rsidRDefault="009D3521" w:rsidP="009D3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A2B0" w14:textId="3FE82EFC" w:rsidR="009D3521" w:rsidRDefault="00627976" w:rsidP="009D3521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Percentage of US residents (not in active duty, over 18) that served in the military, naval, or air service and was discharged or released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9D3521" w14:paraId="460AAB29" w14:textId="77777777" w:rsidTr="009D3521">
        <w:tc>
          <w:tcPr>
            <w:tcW w:w="10790" w:type="dxa"/>
            <w:gridSpan w:val="3"/>
            <w:shd w:val="clear" w:color="auto" w:fill="DAE9F7" w:themeFill="text2" w:themeFillTint="1A"/>
          </w:tcPr>
          <w:p w14:paraId="3C5939C9" w14:textId="7BE2B5D5" w:rsidR="009D3521" w:rsidRDefault="00B318F5" w:rsidP="009D35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Patient Experience</w:t>
            </w:r>
          </w:p>
        </w:tc>
      </w:tr>
      <w:tr w:rsidR="00B318F5" w14:paraId="50B70D6C" w14:textId="77777777" w:rsidTr="00A961DE">
        <w:tc>
          <w:tcPr>
            <w:tcW w:w="921" w:type="dxa"/>
          </w:tcPr>
          <w:p w14:paraId="435245A4" w14:textId="77777777" w:rsidR="00B318F5" w:rsidRDefault="00B318F5" w:rsidP="00B318F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728167" w14:textId="3FA7410C" w:rsidR="00B318F5" w:rsidRDefault="00B318F5" w:rsidP="00B31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Nurse Communication: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4ADB0E0E" w14:textId="0E77429A" w:rsidR="00B318F5" w:rsidRDefault="00B318F5" w:rsidP="00B31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HCAHPS Survey</w:t>
            </w:r>
          </w:p>
        </w:tc>
      </w:tr>
      <w:tr w:rsidR="00B318F5" w14:paraId="376AF2CD" w14:textId="77777777" w:rsidTr="00A961DE">
        <w:tc>
          <w:tcPr>
            <w:tcW w:w="921" w:type="dxa"/>
          </w:tcPr>
          <w:p w14:paraId="17BA9413" w14:textId="77777777" w:rsidR="00B318F5" w:rsidRDefault="00B318F5" w:rsidP="00B318F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CE3D" w14:textId="77777777" w:rsidR="00B318F5" w:rsidRPr="004C1992" w:rsidRDefault="00B318F5" w:rsidP="00B318F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4C1992">
              <w:rPr>
                <w:sz w:val="24"/>
                <w:szCs w:val="24"/>
                <w:lang w:val="en-US"/>
              </w:rPr>
              <w:t>During this hospital stay, how often did nurses treat you with courtesy and respect?</w:t>
            </w:r>
          </w:p>
          <w:p w14:paraId="6DEEA7CA" w14:textId="77777777" w:rsidR="00B318F5" w:rsidRDefault="00B318F5" w:rsidP="00B318F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4C1992">
              <w:rPr>
                <w:sz w:val="24"/>
                <w:szCs w:val="24"/>
                <w:lang w:val="en-US"/>
              </w:rPr>
              <w:t>During this hospital stay, how often did nurses listen carefully to you?</w:t>
            </w:r>
          </w:p>
          <w:p w14:paraId="042C6D54" w14:textId="7058B59E" w:rsidR="00B318F5" w:rsidRPr="00B318F5" w:rsidRDefault="00B318F5" w:rsidP="00B318F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318F5">
              <w:rPr>
                <w:sz w:val="24"/>
                <w:szCs w:val="24"/>
                <w:lang w:val="en-US"/>
              </w:rPr>
              <w:t>During this hospital stay, how often did nurses explain things in a way you could understand?</w:t>
            </w:r>
          </w:p>
        </w:tc>
      </w:tr>
      <w:tr w:rsidR="00B318F5" w14:paraId="1CF2A749" w14:textId="77777777" w:rsidTr="00A961DE">
        <w:tc>
          <w:tcPr>
            <w:tcW w:w="921" w:type="dxa"/>
          </w:tcPr>
          <w:p w14:paraId="0C7EFD13" w14:textId="77777777" w:rsidR="00B318F5" w:rsidRDefault="00B318F5" w:rsidP="00B318F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DA3559" w14:textId="3E739B98" w:rsidR="00B318F5" w:rsidRDefault="00B318F5" w:rsidP="00B31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Doctor Communication: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053D5500" w14:textId="7424E8DD" w:rsidR="00B318F5" w:rsidRDefault="00B318F5" w:rsidP="00B31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HCAHPS Survey</w:t>
            </w:r>
          </w:p>
        </w:tc>
      </w:tr>
      <w:tr w:rsidR="00B318F5" w14:paraId="302B7B57" w14:textId="77777777" w:rsidTr="00A961DE">
        <w:tc>
          <w:tcPr>
            <w:tcW w:w="921" w:type="dxa"/>
          </w:tcPr>
          <w:p w14:paraId="14E0FB10" w14:textId="77777777" w:rsidR="00B318F5" w:rsidRDefault="00B318F5" w:rsidP="00B318F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4D89" w14:textId="77777777" w:rsidR="00B318F5" w:rsidRPr="004C1992" w:rsidRDefault="00B318F5" w:rsidP="00B318F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004C1992">
              <w:rPr>
                <w:sz w:val="24"/>
                <w:szCs w:val="24"/>
                <w:lang w:val="en-US"/>
              </w:rPr>
              <w:t>During this hospital stay, how often did doctors treat you with courtesy and respect?</w:t>
            </w:r>
          </w:p>
          <w:p w14:paraId="57D9664C" w14:textId="77777777" w:rsidR="00B318F5" w:rsidRDefault="00B318F5" w:rsidP="00B318F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004C1992">
              <w:rPr>
                <w:sz w:val="24"/>
                <w:szCs w:val="24"/>
                <w:lang w:val="en-US"/>
              </w:rPr>
              <w:t>During this hospital stay, how often did doctors listen carefully to you?</w:t>
            </w:r>
          </w:p>
          <w:p w14:paraId="180FC5FF" w14:textId="053FA8D7" w:rsidR="00B318F5" w:rsidRPr="00B318F5" w:rsidRDefault="00B318F5" w:rsidP="00B318F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B318F5">
              <w:rPr>
                <w:sz w:val="24"/>
                <w:szCs w:val="24"/>
                <w:lang w:val="en-US"/>
              </w:rPr>
              <w:t>During this hospital stay, how often did doctors explain things in a way you could understand?</w:t>
            </w:r>
          </w:p>
        </w:tc>
      </w:tr>
      <w:tr w:rsidR="00062A53" w14:paraId="47F1E371" w14:textId="77777777" w:rsidTr="00A961DE">
        <w:tc>
          <w:tcPr>
            <w:tcW w:w="921" w:type="dxa"/>
          </w:tcPr>
          <w:p w14:paraId="7448E1FF" w14:textId="77777777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013BC7" w14:textId="53E9A278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Staff Responsiveness: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305F028F" w14:textId="450ACB28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HCAHPS Survey</w:t>
            </w:r>
          </w:p>
        </w:tc>
      </w:tr>
      <w:tr w:rsidR="00062A53" w14:paraId="293C1BE8" w14:textId="77777777" w:rsidTr="00A961DE">
        <w:tc>
          <w:tcPr>
            <w:tcW w:w="921" w:type="dxa"/>
          </w:tcPr>
          <w:p w14:paraId="0D333E1F" w14:textId="77777777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9725" w14:textId="77777777" w:rsidR="00062A53" w:rsidRDefault="00062A53" w:rsidP="00062A5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C1992">
              <w:rPr>
                <w:sz w:val="24"/>
                <w:szCs w:val="24"/>
                <w:lang w:val="en-US"/>
              </w:rPr>
              <w:t>During this hospital stay, after you pressed the call button, how often did you get help as soon as you wanted it?</w:t>
            </w:r>
          </w:p>
          <w:p w14:paraId="4D6B522B" w14:textId="1490BA49" w:rsidR="00062A53" w:rsidRPr="00062A53" w:rsidRDefault="00062A53" w:rsidP="00062A53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00062A53">
              <w:rPr>
                <w:sz w:val="24"/>
                <w:szCs w:val="24"/>
                <w:lang w:val="en-US"/>
              </w:rPr>
              <w:t>How often did you get help in getting to the bathroom or in using a bedpan as soon as you wanted?</w:t>
            </w:r>
          </w:p>
        </w:tc>
      </w:tr>
      <w:tr w:rsidR="00062A53" w14:paraId="0BC24D5F" w14:textId="77777777" w:rsidTr="00A961DE">
        <w:tc>
          <w:tcPr>
            <w:tcW w:w="921" w:type="dxa"/>
          </w:tcPr>
          <w:p w14:paraId="7631B9B8" w14:textId="77777777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02C858" w14:textId="09E616A5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Communication about Medicines: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2ACCBED9" w14:textId="5AFF6905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HCAHPS Survey</w:t>
            </w:r>
          </w:p>
        </w:tc>
      </w:tr>
      <w:tr w:rsidR="00062A53" w14:paraId="26EE3056" w14:textId="77777777" w:rsidTr="00A961DE">
        <w:tc>
          <w:tcPr>
            <w:tcW w:w="921" w:type="dxa"/>
          </w:tcPr>
          <w:p w14:paraId="06ED0C3E" w14:textId="77777777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BDAF" w14:textId="77777777" w:rsidR="00062A53" w:rsidRDefault="00062A53" w:rsidP="00062A5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4C1992">
              <w:rPr>
                <w:sz w:val="24"/>
                <w:szCs w:val="24"/>
                <w:lang w:val="en-US"/>
              </w:rPr>
              <w:t>Before giving you any new medicine, how often did hospital staff tell you what the medicine was for?</w:t>
            </w:r>
          </w:p>
          <w:p w14:paraId="6EA40F5C" w14:textId="3A1550D1" w:rsidR="00062A53" w:rsidRPr="00062A53" w:rsidRDefault="00062A53" w:rsidP="00062A5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062A53">
              <w:rPr>
                <w:sz w:val="24"/>
                <w:szCs w:val="24"/>
                <w:lang w:val="en-US"/>
              </w:rPr>
              <w:t>Before giving you any new medicine, how often did hospital staff describe possible side effects in a way you could understand?</w:t>
            </w:r>
          </w:p>
        </w:tc>
      </w:tr>
      <w:tr w:rsidR="00062A53" w14:paraId="56506FB7" w14:textId="77777777" w:rsidTr="00A961DE">
        <w:tc>
          <w:tcPr>
            <w:tcW w:w="921" w:type="dxa"/>
          </w:tcPr>
          <w:p w14:paraId="1E9E224F" w14:textId="77777777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74735E" w14:textId="7C7D2EC2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Discharge Information: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6B7A8515" w14:textId="6977C05C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HCAHPS Survey</w:t>
            </w:r>
          </w:p>
        </w:tc>
      </w:tr>
      <w:tr w:rsidR="00062A53" w14:paraId="55B31F0F" w14:textId="77777777" w:rsidTr="00A961DE">
        <w:tc>
          <w:tcPr>
            <w:tcW w:w="921" w:type="dxa"/>
          </w:tcPr>
          <w:p w14:paraId="404ED1EA" w14:textId="77777777" w:rsidR="00062A53" w:rsidRDefault="00062A53" w:rsidP="00062A5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21B7B3D" w14:textId="77777777" w:rsidR="00062A53" w:rsidRPr="004C1992" w:rsidRDefault="00062A53" w:rsidP="00062A5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4C1992">
              <w:rPr>
                <w:sz w:val="24"/>
                <w:szCs w:val="24"/>
                <w:lang w:val="en-US"/>
              </w:rPr>
              <w:t>During this hospital stay, did doctors, nurses or other hospital staff talk with you about whether you would have the help you needed when you left the hospital?</w:t>
            </w:r>
          </w:p>
          <w:p w14:paraId="3B2D58C4" w14:textId="4DFB0D4A" w:rsidR="00062A53" w:rsidRPr="00062A53" w:rsidRDefault="00062A53" w:rsidP="00062A53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  <w:r w:rsidRPr="00062A53">
              <w:rPr>
                <w:sz w:val="24"/>
                <w:szCs w:val="24"/>
                <w:lang w:val="en-US"/>
              </w:rPr>
              <w:t>During this hospital stay, did you get information in writing about what symptoms or health problems to look out for after you left the hospital?</w:t>
            </w:r>
          </w:p>
        </w:tc>
      </w:tr>
      <w:tr w:rsidR="003E0019" w14:paraId="0CDFB6A5" w14:textId="77777777" w:rsidTr="00A961DE">
        <w:tc>
          <w:tcPr>
            <w:tcW w:w="921" w:type="dxa"/>
          </w:tcPr>
          <w:p w14:paraId="3535B4DE" w14:textId="77777777" w:rsidR="003E0019" w:rsidRDefault="003E0019" w:rsidP="003E001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839826" w14:textId="66510C8C" w:rsidR="003E0019" w:rsidRDefault="003E0019" w:rsidP="003E00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Care Transition: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2870DD1F" w14:textId="4E5B515E" w:rsidR="003E0019" w:rsidRDefault="003E0019" w:rsidP="003E00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HCAHPS Survey</w:t>
            </w:r>
          </w:p>
        </w:tc>
      </w:tr>
      <w:tr w:rsidR="003E0019" w14:paraId="561467E0" w14:textId="77777777" w:rsidTr="00A961DE">
        <w:tc>
          <w:tcPr>
            <w:tcW w:w="921" w:type="dxa"/>
          </w:tcPr>
          <w:p w14:paraId="0B20D592" w14:textId="77777777" w:rsidR="003E0019" w:rsidRDefault="003E0019" w:rsidP="003E001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04D5C51" w14:textId="77777777" w:rsidR="003E0019" w:rsidRPr="004C1992" w:rsidRDefault="003E0019" w:rsidP="003E001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 w:rsidRPr="004C1992">
              <w:rPr>
                <w:sz w:val="24"/>
                <w:szCs w:val="24"/>
                <w:lang w:val="en-US"/>
              </w:rPr>
              <w:t xml:space="preserve">During this hospital stay, staff took my preferences and those of my family or caregiver into account in deciding what my </w:t>
            </w:r>
            <w:r>
              <w:rPr>
                <w:sz w:val="24"/>
                <w:szCs w:val="24"/>
                <w:lang w:val="en-US"/>
              </w:rPr>
              <w:t>healthcare</w:t>
            </w:r>
            <w:r w:rsidRPr="004C1992">
              <w:rPr>
                <w:sz w:val="24"/>
                <w:szCs w:val="24"/>
                <w:lang w:val="en-US"/>
              </w:rPr>
              <w:t xml:space="preserve"> needs would be when I left.</w:t>
            </w:r>
          </w:p>
          <w:p w14:paraId="52DB48BF" w14:textId="77777777" w:rsidR="003E0019" w:rsidRDefault="003E0019" w:rsidP="003E001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 w:rsidRPr="004C1992">
              <w:rPr>
                <w:sz w:val="24"/>
                <w:szCs w:val="24"/>
                <w:lang w:val="en-US"/>
              </w:rPr>
              <w:t>When I left the hospital, I had a good understanding of the things I was responsible for in managing my health.</w:t>
            </w:r>
          </w:p>
          <w:p w14:paraId="24651CF3" w14:textId="41829F81" w:rsidR="003E0019" w:rsidRPr="00627976" w:rsidRDefault="003E0019" w:rsidP="003E0019">
            <w:pPr>
              <w:ind w:left="720"/>
              <w:rPr>
                <w:sz w:val="24"/>
                <w:szCs w:val="24"/>
              </w:rPr>
            </w:pPr>
            <w:r w:rsidRPr="004C1992">
              <w:rPr>
                <w:sz w:val="24"/>
                <w:szCs w:val="24"/>
                <w:lang w:val="en-US"/>
              </w:rPr>
              <w:t xml:space="preserve">When I left the hospital, I clearly understood the purpose </w:t>
            </w:r>
            <w:r>
              <w:rPr>
                <w:sz w:val="24"/>
                <w:szCs w:val="24"/>
                <w:lang w:val="en-US"/>
              </w:rPr>
              <w:t>of</w:t>
            </w:r>
            <w:r w:rsidRPr="004C1992">
              <w:rPr>
                <w:sz w:val="24"/>
                <w:szCs w:val="24"/>
                <w:lang w:val="en-US"/>
              </w:rPr>
              <w:t xml:space="preserve"> taking each of my medications.</w:t>
            </w:r>
          </w:p>
        </w:tc>
      </w:tr>
      <w:tr w:rsidR="00627976" w14:paraId="47110912" w14:textId="77777777" w:rsidTr="00A961DE">
        <w:tc>
          <w:tcPr>
            <w:tcW w:w="921" w:type="dxa"/>
          </w:tcPr>
          <w:p w14:paraId="7DCD5954" w14:textId="77777777" w:rsidR="009D3521" w:rsidRDefault="009D3521" w:rsidP="009D3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1A65E1" w14:textId="5EE80263" w:rsidR="009D3521" w:rsidRDefault="009D3521" w:rsidP="009D3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29C35E9A" w14:textId="414A6A97" w:rsidR="009D3521" w:rsidRDefault="009D3521" w:rsidP="009D35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004E5" w14:paraId="19BE5666" w14:textId="77777777" w:rsidTr="00A961DE">
        <w:tc>
          <w:tcPr>
            <w:tcW w:w="921" w:type="dxa"/>
          </w:tcPr>
          <w:p w14:paraId="07294949" w14:textId="77777777" w:rsidR="007004E5" w:rsidRDefault="007004E5" w:rsidP="009D3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608C6C6" w14:textId="05B08083" w:rsidR="007004E5" w:rsidRDefault="007004E5" w:rsidP="009D35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E0019" w14:paraId="68015B0F" w14:textId="77777777" w:rsidTr="00A961DE">
        <w:tc>
          <w:tcPr>
            <w:tcW w:w="921" w:type="dxa"/>
          </w:tcPr>
          <w:p w14:paraId="05B2372B" w14:textId="77777777" w:rsidR="003E0019" w:rsidRDefault="003E0019" w:rsidP="003E001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DB96F7" w14:textId="40FDD90F" w:rsidR="003E0019" w:rsidRDefault="003E0019" w:rsidP="003E00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Cleanliness: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723B4CE1" w14:textId="657CF807" w:rsidR="003E0019" w:rsidRDefault="003E0019" w:rsidP="003E00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HCAHPS Survey</w:t>
            </w:r>
          </w:p>
        </w:tc>
      </w:tr>
      <w:tr w:rsidR="003E0019" w14:paraId="4A3E29F8" w14:textId="77777777" w:rsidTr="00A961DE">
        <w:tc>
          <w:tcPr>
            <w:tcW w:w="921" w:type="dxa"/>
          </w:tcPr>
          <w:p w14:paraId="5B36A5D5" w14:textId="77777777" w:rsidR="003E0019" w:rsidRDefault="003E0019" w:rsidP="003E001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1859EA" w14:textId="306F54F5" w:rsidR="003E0019" w:rsidRPr="003E0019" w:rsidRDefault="003E0019" w:rsidP="003E0019">
            <w:pPr>
              <w:pStyle w:val="ListParagraph"/>
              <w:numPr>
                <w:ilvl w:val="0"/>
                <w:numId w:val="29"/>
              </w:numPr>
              <w:rPr>
                <w:b/>
                <w:bCs/>
                <w:sz w:val="24"/>
                <w:szCs w:val="24"/>
              </w:rPr>
            </w:pPr>
            <w:r w:rsidRPr="003E0019">
              <w:rPr>
                <w:sz w:val="24"/>
                <w:szCs w:val="24"/>
                <w:lang w:val="en-US"/>
              </w:rPr>
              <w:t>During this hospital stay, how often were your room and bathroom kept clean?</w:t>
            </w:r>
          </w:p>
        </w:tc>
      </w:tr>
      <w:tr w:rsidR="003E0019" w14:paraId="39BA1C4B" w14:textId="77777777" w:rsidTr="00A961DE">
        <w:tc>
          <w:tcPr>
            <w:tcW w:w="921" w:type="dxa"/>
            <w:vMerge w:val="restart"/>
            <w:vAlign w:val="center"/>
          </w:tcPr>
          <w:p w14:paraId="332C530A" w14:textId="4528BB42" w:rsidR="003E0019" w:rsidRPr="00A961DE" w:rsidRDefault="003E0019" w:rsidP="003E00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1587A1" w14:textId="1CE0248A" w:rsidR="003E0019" w:rsidRDefault="003E0019" w:rsidP="003E00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Quietness: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7901161C" w14:textId="5DE68B09" w:rsidR="003E0019" w:rsidRDefault="003E0019" w:rsidP="003E00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HCAHPS Survey</w:t>
            </w:r>
          </w:p>
        </w:tc>
      </w:tr>
      <w:tr w:rsidR="003E0019" w14:paraId="07140A54" w14:textId="77777777" w:rsidTr="00A961DE">
        <w:tc>
          <w:tcPr>
            <w:tcW w:w="921" w:type="dxa"/>
            <w:vMerge/>
          </w:tcPr>
          <w:p w14:paraId="624C6E66" w14:textId="77777777" w:rsidR="003E0019" w:rsidRDefault="003E0019" w:rsidP="003E001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9B74662" w14:textId="5102E7BF" w:rsidR="003E0019" w:rsidRPr="003E0019" w:rsidRDefault="003E0019" w:rsidP="003E001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r w:rsidRPr="003E0019">
              <w:rPr>
                <w:sz w:val="24"/>
                <w:szCs w:val="24"/>
                <w:lang w:val="en-US"/>
              </w:rPr>
              <w:t>During this hospital stay, how often was the area around your room quiet at night?</w:t>
            </w:r>
          </w:p>
        </w:tc>
      </w:tr>
      <w:tr w:rsidR="00A01363" w14:paraId="3FA7CF7D" w14:textId="77777777" w:rsidTr="00A961DE">
        <w:tc>
          <w:tcPr>
            <w:tcW w:w="921" w:type="dxa"/>
            <w:vMerge w:val="restart"/>
          </w:tcPr>
          <w:p w14:paraId="4FF66BFD" w14:textId="77777777" w:rsidR="00A01363" w:rsidRDefault="00A01363" w:rsidP="00A0136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69B5CB" w14:textId="0FA01D58" w:rsidR="00A01363" w:rsidRDefault="00A01363" w:rsidP="00A013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Overall: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38701A25" w14:textId="0C92803B" w:rsidR="00A01363" w:rsidRDefault="00A01363" w:rsidP="00A013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HCAHPS Survey</w:t>
            </w:r>
          </w:p>
        </w:tc>
      </w:tr>
      <w:tr w:rsidR="00A01363" w14:paraId="3F3BF464" w14:textId="77777777" w:rsidTr="00A961DE">
        <w:tc>
          <w:tcPr>
            <w:tcW w:w="921" w:type="dxa"/>
            <w:vMerge/>
          </w:tcPr>
          <w:p w14:paraId="13ABA765" w14:textId="77777777" w:rsidR="00A01363" w:rsidRDefault="00A01363" w:rsidP="00A0136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BA18A1B" w14:textId="5992E6DC" w:rsidR="00A01363" w:rsidRPr="00A01363" w:rsidRDefault="00A01363" w:rsidP="00A01363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  <w:lang w:val="en-US"/>
              </w:rPr>
            </w:pPr>
            <w:r w:rsidRPr="00A01363">
              <w:rPr>
                <w:sz w:val="24"/>
                <w:szCs w:val="24"/>
                <w:lang w:val="en-US"/>
              </w:rPr>
              <w:t>Using any number from 0 to 10, where 0 is the worst hospital possible and 10 is the best hospital possible, what number would you use to rate this hospital during your stay?</w:t>
            </w:r>
          </w:p>
        </w:tc>
      </w:tr>
      <w:tr w:rsidR="00A01363" w14:paraId="27B7C6BB" w14:textId="77777777" w:rsidTr="00A961DE">
        <w:tc>
          <w:tcPr>
            <w:tcW w:w="921" w:type="dxa"/>
            <w:vMerge w:val="restart"/>
          </w:tcPr>
          <w:p w14:paraId="5B753B3F" w14:textId="77777777" w:rsidR="00A01363" w:rsidRDefault="00A01363" w:rsidP="00A0136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888DBB" w14:textId="76BD2101" w:rsidR="00A01363" w:rsidRDefault="00A01363" w:rsidP="00A013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Recommend the Hospital: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17B22164" w14:textId="50A80C7D" w:rsidR="00A01363" w:rsidRDefault="00A01363" w:rsidP="00A013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HCAHPS Survey</w:t>
            </w:r>
          </w:p>
        </w:tc>
      </w:tr>
      <w:tr w:rsidR="00A01363" w14:paraId="2188A559" w14:textId="77777777" w:rsidTr="00A961DE">
        <w:tc>
          <w:tcPr>
            <w:tcW w:w="921" w:type="dxa"/>
            <w:vMerge/>
          </w:tcPr>
          <w:p w14:paraId="266F915A" w14:textId="77777777" w:rsidR="00A01363" w:rsidRDefault="00A01363" w:rsidP="00A0136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9F25A8D" w14:textId="1D124284" w:rsidR="00A01363" w:rsidRPr="00A01363" w:rsidRDefault="00A01363" w:rsidP="00A01363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 w:rsidRPr="00A01363">
              <w:rPr>
                <w:sz w:val="24"/>
                <w:szCs w:val="24"/>
                <w:lang w:val="en-US"/>
              </w:rPr>
              <w:t>Would you recommend this hospital to your friends and family?</w:t>
            </w:r>
          </w:p>
        </w:tc>
      </w:tr>
      <w:tr w:rsidR="00DC3FC5" w14:paraId="6567EF45" w14:textId="77777777" w:rsidTr="00DC3FC5">
        <w:tc>
          <w:tcPr>
            <w:tcW w:w="10790" w:type="dxa"/>
            <w:gridSpan w:val="3"/>
            <w:shd w:val="clear" w:color="auto" w:fill="DAE9F7" w:themeFill="text2" w:themeFillTint="1A"/>
          </w:tcPr>
          <w:p w14:paraId="1F9655D7" w14:textId="0D0D7A4E" w:rsidR="00DC3FC5" w:rsidRDefault="00DC3FC5" w:rsidP="009D35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 Measures</w:t>
            </w:r>
          </w:p>
        </w:tc>
      </w:tr>
      <w:tr w:rsidR="00DB3EEC" w14:paraId="57B70174" w14:textId="77777777" w:rsidTr="00A961DE">
        <w:tc>
          <w:tcPr>
            <w:tcW w:w="921" w:type="dxa"/>
            <w:vMerge w:val="restart"/>
          </w:tcPr>
          <w:p w14:paraId="11AA4F2B" w14:textId="77777777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88D807" w14:textId="48ACEB6E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Total Operating Cost Attributed to Charity Care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7DD461C0" w14:textId="2CD0A8D0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DB3EEC" w14:paraId="4C707E23" w14:textId="77777777" w:rsidTr="00A961DE">
        <w:tc>
          <w:tcPr>
            <w:tcW w:w="921" w:type="dxa"/>
            <w:vMerge/>
          </w:tcPr>
          <w:p w14:paraId="550F62EF" w14:textId="77777777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E902D6" w14:textId="77777777" w:rsidR="00DB3EEC" w:rsidRPr="00627976" w:rsidRDefault="00DB3EEC" w:rsidP="00DB3EEC">
            <w:pPr>
              <w:rPr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Percentage of total operational cost attributed to medically necessary healthcare services provided to patients who satisfy the hospital’s charity care policy.</w:t>
            </w:r>
          </w:p>
          <w:p w14:paraId="162960BA" w14:textId="151EAC54" w:rsidR="00DB3EEC" w:rsidRPr="00DB3EEC" w:rsidRDefault="00DB3EEC" w:rsidP="00DB3EEC">
            <w:pPr>
              <w:rPr>
                <w:sz w:val="24"/>
                <w:szCs w:val="24"/>
                <w:lang w:val="en-US"/>
              </w:rPr>
            </w:pPr>
            <w:r w:rsidRPr="00DB3EEC">
              <w:rPr>
                <w:sz w:val="24"/>
                <w:szCs w:val="24"/>
                <w:lang w:val="en-US"/>
              </w:rPr>
              <w:t>The hospital does not expect future payment for this care.</w:t>
            </w:r>
          </w:p>
        </w:tc>
      </w:tr>
      <w:tr w:rsidR="00DB3EEC" w14:paraId="4F39F557" w14:textId="77777777" w:rsidTr="00A961DE">
        <w:tc>
          <w:tcPr>
            <w:tcW w:w="921" w:type="dxa"/>
            <w:vMerge w:val="restart"/>
          </w:tcPr>
          <w:p w14:paraId="78611536" w14:textId="77777777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4338D7" w14:textId="54C5CB29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Total Operating Cost Attributed to Bad Debt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22E8921C" w14:textId="430FCA06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DB3EEC" w14:paraId="37730077" w14:textId="77777777" w:rsidTr="00A961DE">
        <w:tc>
          <w:tcPr>
            <w:tcW w:w="921" w:type="dxa"/>
            <w:vMerge/>
          </w:tcPr>
          <w:p w14:paraId="6C1D22F0" w14:textId="77777777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FC611C2" w14:textId="77777777" w:rsidR="00DB3EEC" w:rsidRPr="00627976" w:rsidRDefault="00DB3EEC" w:rsidP="00DB3EEC">
            <w:pPr>
              <w:rPr>
                <w:sz w:val="24"/>
                <w:szCs w:val="24"/>
              </w:rPr>
            </w:pPr>
            <w:proofErr w:type="gramStart"/>
            <w:r w:rsidRPr="00627976">
              <w:rPr>
                <w:sz w:val="24"/>
                <w:szCs w:val="24"/>
                <w:lang w:val="en-US"/>
              </w:rPr>
              <w:t>Percentage</w:t>
            </w:r>
            <w:proofErr w:type="gramEnd"/>
            <w:r w:rsidRPr="00627976">
              <w:rPr>
                <w:sz w:val="24"/>
                <w:szCs w:val="24"/>
                <w:lang w:val="en-US"/>
              </w:rPr>
              <w:t xml:space="preserve"> of total operational cost attributed to </w:t>
            </w:r>
            <w:r>
              <w:rPr>
                <w:sz w:val="24"/>
                <w:szCs w:val="24"/>
                <w:lang w:val="en-US"/>
              </w:rPr>
              <w:t>write-offs</w:t>
            </w:r>
            <w:r w:rsidRPr="00627976">
              <w:rPr>
                <w:sz w:val="24"/>
                <w:szCs w:val="24"/>
                <w:lang w:val="en-US"/>
              </w:rPr>
              <w:t xml:space="preserve"> for care provided but no payment is expected.</w:t>
            </w:r>
          </w:p>
          <w:p w14:paraId="6D8F8F22" w14:textId="7CA4278C" w:rsidR="00DB3EEC" w:rsidRPr="00DB3EEC" w:rsidRDefault="00DB3EEC" w:rsidP="00DB3EEC">
            <w:pPr>
              <w:rPr>
                <w:sz w:val="24"/>
                <w:szCs w:val="24"/>
                <w:lang w:val="en-US"/>
              </w:rPr>
            </w:pPr>
            <w:r w:rsidRPr="00DB3EEC">
              <w:rPr>
                <w:sz w:val="24"/>
                <w:szCs w:val="24"/>
                <w:lang w:val="en-US"/>
              </w:rPr>
              <w:t>The hospital did at one point expect future payment for this care.</w:t>
            </w:r>
          </w:p>
        </w:tc>
      </w:tr>
      <w:tr w:rsidR="00DB3EEC" w14:paraId="4362F88E" w14:textId="77777777" w:rsidTr="00A961DE">
        <w:tc>
          <w:tcPr>
            <w:tcW w:w="921" w:type="dxa"/>
            <w:vMerge w:val="restart"/>
          </w:tcPr>
          <w:p w14:paraId="7FFA0424" w14:textId="77777777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A57142" w14:textId="408E3187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Percentage of Total Operating Cost Attributed to Salaries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65F6AD4B" w14:textId="2A0ED1B3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DB3EEC" w14:paraId="187CA142" w14:textId="77777777" w:rsidTr="00A961DE">
        <w:tc>
          <w:tcPr>
            <w:tcW w:w="921" w:type="dxa"/>
            <w:vMerge/>
          </w:tcPr>
          <w:p w14:paraId="3A587635" w14:textId="77777777" w:rsidR="00DB3EEC" w:rsidRDefault="00DB3EEC" w:rsidP="00DB3EE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60E2A60" w14:textId="158F88B6" w:rsidR="00DB3EEC" w:rsidRPr="00DB3EEC" w:rsidRDefault="00DB3EEC" w:rsidP="00DB3EEC">
            <w:pPr>
              <w:rPr>
                <w:sz w:val="24"/>
                <w:szCs w:val="24"/>
                <w:lang w:val="en-US"/>
              </w:rPr>
            </w:pPr>
            <w:r w:rsidRPr="00DB3EEC">
              <w:rPr>
                <w:sz w:val="24"/>
                <w:szCs w:val="24"/>
                <w:lang w:val="en-US"/>
              </w:rPr>
              <w:t>Percentage of total operational cost attributed to salaries. This includes salaries for all medical professionals as well as administrative, maintenance, operational, etc. work.</w:t>
            </w:r>
          </w:p>
        </w:tc>
      </w:tr>
      <w:tr w:rsidR="00053EFD" w14:paraId="6F5C0B75" w14:textId="77777777" w:rsidTr="00A961DE">
        <w:tc>
          <w:tcPr>
            <w:tcW w:w="921" w:type="dxa"/>
            <w:vMerge w:val="restart"/>
          </w:tcPr>
          <w:p w14:paraId="30FC67C3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DC1AA8" w14:textId="0835172B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Cost per Inpatient Day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7EF74697" w14:textId="0623F145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053EFD" w14:paraId="129785F5" w14:textId="77777777" w:rsidTr="00A961DE">
        <w:tc>
          <w:tcPr>
            <w:tcW w:w="921" w:type="dxa"/>
            <w:vMerge/>
          </w:tcPr>
          <w:p w14:paraId="5D53A4E7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955FB54" w14:textId="5A5920B1" w:rsidR="00053EFD" w:rsidRPr="00053EFD" w:rsidRDefault="00053EFD" w:rsidP="00053EFD">
            <w:pPr>
              <w:rPr>
                <w:sz w:val="24"/>
                <w:szCs w:val="24"/>
              </w:rPr>
            </w:pPr>
            <w:r w:rsidRPr="00053EFD">
              <w:rPr>
                <w:sz w:val="24"/>
                <w:szCs w:val="24"/>
                <w:lang w:val="en-US"/>
              </w:rPr>
              <w:t>The total operating cost per recorded inpatient day. This cost includes all operational activities, not only costs directly attributable to providing care.</w:t>
            </w:r>
          </w:p>
        </w:tc>
      </w:tr>
      <w:tr w:rsidR="00053EFD" w14:paraId="7830B6F7" w14:textId="77777777" w:rsidTr="00A961DE">
        <w:tc>
          <w:tcPr>
            <w:tcW w:w="921" w:type="dxa"/>
            <w:vMerge w:val="restart"/>
          </w:tcPr>
          <w:p w14:paraId="6A72DBE7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953BA3" w14:textId="5C4882E4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9D3521">
              <w:rPr>
                <w:b/>
                <w:bCs/>
                <w:sz w:val="24"/>
                <w:szCs w:val="24"/>
              </w:rPr>
              <w:t>Salary Cost per Inpatient Day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291DD2E7" w14:textId="64D2566B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053EFD" w14:paraId="1FFF3561" w14:textId="77777777" w:rsidTr="00A961DE">
        <w:tc>
          <w:tcPr>
            <w:tcW w:w="921" w:type="dxa"/>
            <w:vMerge/>
          </w:tcPr>
          <w:p w14:paraId="518C517C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96E1A99" w14:textId="1CBEC7DE" w:rsidR="00053EFD" w:rsidRPr="00415063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68726B">
              <w:rPr>
                <w:sz w:val="24"/>
                <w:szCs w:val="24"/>
                <w:lang w:val="en-US"/>
              </w:rPr>
              <w:t>The cost of salaries per inpatient day.</w:t>
            </w:r>
          </w:p>
        </w:tc>
      </w:tr>
      <w:tr w:rsidR="00053EFD" w14:paraId="18A5510B" w14:textId="77777777" w:rsidTr="00A961DE">
        <w:tc>
          <w:tcPr>
            <w:tcW w:w="921" w:type="dxa"/>
            <w:vMerge w:val="restart"/>
          </w:tcPr>
          <w:p w14:paraId="2F7E92C6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F0CFC3" w14:textId="4F5F4706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Non-salary cost per Inpatient Day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0D5F35F3" w14:textId="1EEE2584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053EFD" w14:paraId="471E95CD" w14:textId="77777777" w:rsidTr="00A961DE">
        <w:tc>
          <w:tcPr>
            <w:tcW w:w="921" w:type="dxa"/>
            <w:vMerge/>
          </w:tcPr>
          <w:p w14:paraId="71FE5BD3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C1C5CBD" w14:textId="4A4D734B" w:rsidR="00053EFD" w:rsidRPr="00053EFD" w:rsidRDefault="00053EFD" w:rsidP="00053EFD">
            <w:pPr>
              <w:rPr>
                <w:sz w:val="24"/>
                <w:szCs w:val="24"/>
              </w:rPr>
            </w:pPr>
            <w:r w:rsidRPr="00053EFD">
              <w:rPr>
                <w:sz w:val="24"/>
                <w:szCs w:val="24"/>
                <w:lang w:val="en-US"/>
              </w:rPr>
              <w:t>Total cost of operations besides paying workers per inpatient day.</w:t>
            </w:r>
          </w:p>
        </w:tc>
      </w:tr>
      <w:tr w:rsidR="00053EFD" w14:paraId="139224C4" w14:textId="77777777" w:rsidTr="00A961DE">
        <w:tc>
          <w:tcPr>
            <w:tcW w:w="921" w:type="dxa"/>
            <w:vMerge w:val="restart"/>
          </w:tcPr>
          <w:p w14:paraId="466B56F2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AEEEE0" w14:textId="7DD1352E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7004E5">
              <w:rPr>
                <w:b/>
                <w:bCs/>
                <w:sz w:val="24"/>
                <w:szCs w:val="24"/>
              </w:rPr>
              <w:t>Cost of Medical Record Library per Inpatient Day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</w:tcBorders>
          </w:tcPr>
          <w:p w14:paraId="610EE5C8" w14:textId="5DF231E6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053EFD" w14:paraId="66C88009" w14:textId="77777777" w:rsidTr="00A961DE">
        <w:tc>
          <w:tcPr>
            <w:tcW w:w="921" w:type="dxa"/>
            <w:vMerge/>
          </w:tcPr>
          <w:p w14:paraId="7ACB98FF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46CA36" w14:textId="2F713F10" w:rsidR="00053EFD" w:rsidRPr="00DC3FC5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Direct costs of the medical records cost center including the medical records library.  The general library and the medical library are not included in this.</w:t>
            </w:r>
          </w:p>
        </w:tc>
      </w:tr>
      <w:tr w:rsidR="00053EFD" w14:paraId="4552E8FA" w14:textId="77777777" w:rsidTr="00F11C64">
        <w:tc>
          <w:tcPr>
            <w:tcW w:w="921" w:type="dxa"/>
          </w:tcPr>
          <w:p w14:paraId="4C0CC445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646364" w14:textId="268D21FB" w:rsidR="00053EFD" w:rsidRPr="00DC3FC5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7004E5">
              <w:rPr>
                <w:b/>
                <w:bCs/>
                <w:sz w:val="24"/>
                <w:szCs w:val="24"/>
              </w:rPr>
              <w:t>Cost of Social Services per Inpatient Day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0D27804" w14:textId="0F5D5382" w:rsidR="00053EFD" w:rsidRPr="00DC3FC5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053EFD" w14:paraId="7DE88F32" w14:textId="77777777" w:rsidTr="00A961DE">
        <w:tc>
          <w:tcPr>
            <w:tcW w:w="921" w:type="dxa"/>
          </w:tcPr>
          <w:p w14:paraId="18C08927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D5A57D7" w14:textId="0A5953FC" w:rsidR="00053EFD" w:rsidRPr="00DC3FC5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 xml:space="preserve">Cost attributable to explaining health care resources and policies to patients, </w:t>
            </w:r>
            <w:proofErr w:type="gramStart"/>
            <w:r w:rsidRPr="00627976">
              <w:rPr>
                <w:sz w:val="24"/>
                <w:szCs w:val="24"/>
                <w:lang w:val="en-US"/>
              </w:rPr>
              <w:t>family</w:t>
            </w:r>
            <w:proofErr w:type="gramEnd"/>
            <w:r w:rsidRPr="00627976">
              <w:rPr>
                <w:sz w:val="24"/>
                <w:szCs w:val="24"/>
                <w:lang w:val="en-US"/>
              </w:rPr>
              <w:t xml:space="preserve"> and professional staff; assistance in planning for post-hospital patient needs; assisting patients and families receive needed follow-up care by referral to health care resources and providing advocacy through appropriate organizations.</w:t>
            </w:r>
          </w:p>
        </w:tc>
      </w:tr>
      <w:tr w:rsidR="00053EFD" w14:paraId="07F85765" w14:textId="77777777" w:rsidTr="00F11C64">
        <w:tc>
          <w:tcPr>
            <w:tcW w:w="921" w:type="dxa"/>
          </w:tcPr>
          <w:p w14:paraId="58F62BB3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A7A86F" w14:textId="67BA4F09" w:rsidR="00053EFD" w:rsidRPr="00DC3FC5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7004E5">
              <w:rPr>
                <w:b/>
                <w:bCs/>
                <w:sz w:val="24"/>
                <w:szCs w:val="24"/>
              </w:rPr>
              <w:t>Cost of Malpractice Premiums per Inpatient Day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6F74AAA" w14:textId="7176F431" w:rsidR="00053EFD" w:rsidRPr="00DC3FC5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053EFD" w14:paraId="6CFEEED1" w14:textId="77777777" w:rsidTr="00A961DE">
        <w:tc>
          <w:tcPr>
            <w:tcW w:w="921" w:type="dxa"/>
          </w:tcPr>
          <w:p w14:paraId="5D3D6614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B82F987" w14:textId="77777777" w:rsidR="00053EFD" w:rsidRPr="00627976" w:rsidRDefault="00053EFD" w:rsidP="00053EFD">
            <w:pPr>
              <w:rPr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Cost</w:t>
            </w:r>
            <w:r>
              <w:rPr>
                <w:sz w:val="24"/>
                <w:szCs w:val="24"/>
                <w:lang w:val="en-US"/>
              </w:rPr>
              <w:t xml:space="preserve"> per inpatient day</w:t>
            </w:r>
            <w:r w:rsidRPr="00627976">
              <w:rPr>
                <w:sz w:val="24"/>
                <w:szCs w:val="24"/>
                <w:lang w:val="en-US"/>
              </w:rPr>
              <w:t xml:space="preserve"> of either:</w:t>
            </w:r>
          </w:p>
          <w:p w14:paraId="6AABA873" w14:textId="77777777" w:rsidR="00053EFD" w:rsidRPr="00627976" w:rsidRDefault="00053EFD" w:rsidP="00053EFD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 xml:space="preserve">Malpractice premiums paid to an external insurer to protect the provider against potential negligence claims made by patients/clients, </w:t>
            </w:r>
          </w:p>
          <w:p w14:paraId="1781E370" w14:textId="566A4015" w:rsidR="00053EFD" w:rsidRPr="00DC3FC5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 xml:space="preserve">Money paid to an internal fund in the case where the provider acts as its own insurer. </w:t>
            </w:r>
          </w:p>
        </w:tc>
      </w:tr>
      <w:tr w:rsidR="00053EFD" w14:paraId="70DCE534" w14:textId="77777777" w:rsidTr="00A961DE">
        <w:tc>
          <w:tcPr>
            <w:tcW w:w="10790" w:type="dxa"/>
            <w:gridSpan w:val="3"/>
            <w:shd w:val="clear" w:color="auto" w:fill="DAE9F7" w:themeFill="text2" w:themeFillTint="1A"/>
          </w:tcPr>
          <w:p w14:paraId="6456CBFF" w14:textId="527E2249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Patient Safety Indicators</w:t>
            </w:r>
          </w:p>
        </w:tc>
      </w:tr>
      <w:tr w:rsidR="00053EFD" w14:paraId="63905464" w14:textId="77777777" w:rsidTr="00690F3F">
        <w:tc>
          <w:tcPr>
            <w:tcW w:w="921" w:type="dxa"/>
            <w:vMerge w:val="restart"/>
          </w:tcPr>
          <w:p w14:paraId="354BBD8B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A48151" w14:textId="2745AB05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7304FD">
              <w:rPr>
                <w:b/>
                <w:bCs/>
                <w:sz w:val="24"/>
                <w:szCs w:val="24"/>
              </w:rPr>
              <w:t xml:space="preserve">PSI 03 </w:t>
            </w:r>
            <w:r>
              <w:rPr>
                <w:b/>
                <w:bCs/>
                <w:sz w:val="24"/>
                <w:szCs w:val="24"/>
              </w:rPr>
              <w:t>– P</w:t>
            </w:r>
            <w:r w:rsidRPr="007304FD">
              <w:rPr>
                <w:b/>
                <w:bCs/>
                <w:sz w:val="24"/>
                <w:szCs w:val="24"/>
              </w:rPr>
              <w:t>ressure Ulcer Rate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</w:tcPr>
          <w:p w14:paraId="3301B52D" w14:textId="2ED9B562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408D0C81" w14:textId="77777777" w:rsidTr="00690F3F">
        <w:tc>
          <w:tcPr>
            <w:tcW w:w="921" w:type="dxa"/>
            <w:vMerge/>
          </w:tcPr>
          <w:p w14:paraId="3BE55305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D99746" w14:textId="3168EACF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7304FD">
              <w:rPr>
                <w:sz w:val="24"/>
                <w:szCs w:val="24"/>
                <w:lang w:val="en-US"/>
              </w:rPr>
              <w:t xml:space="preserve">he rate of stage </w:t>
            </w:r>
            <w:r>
              <w:rPr>
                <w:sz w:val="24"/>
                <w:szCs w:val="24"/>
                <w:lang w:val="en-US"/>
              </w:rPr>
              <w:t>3</w:t>
            </w:r>
            <w:r w:rsidRPr="007304FD">
              <w:rPr>
                <w:sz w:val="24"/>
                <w:szCs w:val="24"/>
                <w:lang w:val="en-US"/>
              </w:rPr>
              <w:t xml:space="preserve"> and stage 4 pressure ulcers per 1,000 discharges among surgical or medical patients 18 years or older.</w:t>
            </w:r>
          </w:p>
        </w:tc>
      </w:tr>
      <w:tr w:rsidR="00053EFD" w14:paraId="65D6F2EE" w14:textId="77777777" w:rsidTr="00BA21C4">
        <w:tc>
          <w:tcPr>
            <w:tcW w:w="921" w:type="dxa"/>
            <w:vMerge/>
          </w:tcPr>
          <w:p w14:paraId="33A39B6A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D638D5" w14:textId="2673277B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PSI 04 – Death Rate among Surgical Inpatients with Serious Treatable Complications:</w:t>
            </w:r>
          </w:p>
        </w:tc>
        <w:tc>
          <w:tcPr>
            <w:tcW w:w="2573" w:type="dxa"/>
          </w:tcPr>
          <w:p w14:paraId="794EF9ED" w14:textId="6465E245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0A8B3D48" w14:textId="77777777" w:rsidTr="00BA21C4">
        <w:tc>
          <w:tcPr>
            <w:tcW w:w="921" w:type="dxa"/>
            <w:vMerge/>
          </w:tcPr>
          <w:p w14:paraId="3164B1DE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E75069B" w14:textId="4E4D77C2" w:rsidR="00053EFD" w:rsidRPr="00A969CF" w:rsidRDefault="00053EFD" w:rsidP="00053EFD">
            <w:pPr>
              <w:rPr>
                <w:sz w:val="24"/>
                <w:szCs w:val="24"/>
              </w:rPr>
            </w:pPr>
            <w:r w:rsidRPr="00A969CF">
              <w:rPr>
                <w:sz w:val="24"/>
                <w:szCs w:val="24"/>
              </w:rPr>
              <w:t>Rate of deaths per 1,000 surgical discharges when patients were diagnosed with a serious but treatable condition. Some conditions include deep vein thrombosis, pneumonia, and sepsis.</w:t>
            </w:r>
          </w:p>
        </w:tc>
      </w:tr>
      <w:tr w:rsidR="00053EFD" w14:paraId="1EB91D45" w14:textId="77777777" w:rsidTr="00C646BE">
        <w:tc>
          <w:tcPr>
            <w:tcW w:w="921" w:type="dxa"/>
            <w:vMerge/>
          </w:tcPr>
          <w:p w14:paraId="0121AB4F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84D929" w14:textId="1BD9FB42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PSI 06 – Iatrogenic Pneumothorax Rate:</w:t>
            </w:r>
          </w:p>
        </w:tc>
        <w:tc>
          <w:tcPr>
            <w:tcW w:w="2573" w:type="dxa"/>
          </w:tcPr>
          <w:p w14:paraId="7C8BEABC" w14:textId="33A64D14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62B2BC64" w14:textId="77777777" w:rsidTr="00C646BE">
        <w:tc>
          <w:tcPr>
            <w:tcW w:w="921" w:type="dxa"/>
            <w:vMerge/>
          </w:tcPr>
          <w:p w14:paraId="6D21DE42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6039688" w14:textId="652A5A15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rate of iatrogenic pneumothorax per 1,000 discharges among surgical or medical patients 18 years or older.</w:t>
            </w:r>
          </w:p>
        </w:tc>
      </w:tr>
      <w:tr w:rsidR="00053EFD" w14:paraId="33BB1C4B" w14:textId="77777777" w:rsidTr="00502645">
        <w:tc>
          <w:tcPr>
            <w:tcW w:w="921" w:type="dxa"/>
            <w:vMerge/>
          </w:tcPr>
          <w:p w14:paraId="272BE36C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D63A6D" w14:textId="204C4E13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PSI 08 – In-Hospital Fall with Hip Fracture Rate:</w:t>
            </w:r>
          </w:p>
        </w:tc>
        <w:tc>
          <w:tcPr>
            <w:tcW w:w="2573" w:type="dxa"/>
          </w:tcPr>
          <w:p w14:paraId="628C1980" w14:textId="0DE7D435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3DAC59DC" w14:textId="77777777" w:rsidTr="00502645">
        <w:tc>
          <w:tcPr>
            <w:tcW w:w="921" w:type="dxa"/>
            <w:vMerge/>
          </w:tcPr>
          <w:p w14:paraId="47745C4B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6797C8F" w14:textId="0D17D104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The rate of hip fractures </w:t>
            </w:r>
            <w:proofErr w:type="gramStart"/>
            <w:r>
              <w:rPr>
                <w:sz w:val="24"/>
                <w:szCs w:val="24"/>
                <w:lang w:val="en-US"/>
              </w:rPr>
              <w:t>as a result of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falls per 1,000 discharges among surgical or medical patients 18 years or older. E</w:t>
            </w:r>
            <w:r w:rsidRPr="000A632F">
              <w:rPr>
                <w:sz w:val="24"/>
                <w:szCs w:val="24"/>
                <w:lang w:val="en-US"/>
              </w:rPr>
              <w:t>xcludes patients who have been diagnosed with a condition that makes them more susceptible to falling, like seizure disorder, stroke, and cardiac arrest. It also excludes patients with metastatic cancer or other conditions associated with fragile bones.</w:t>
            </w:r>
          </w:p>
        </w:tc>
      </w:tr>
      <w:tr w:rsidR="00053EFD" w14:paraId="29150A70" w14:textId="77777777" w:rsidTr="007D35F0">
        <w:tc>
          <w:tcPr>
            <w:tcW w:w="921" w:type="dxa"/>
            <w:vMerge/>
          </w:tcPr>
          <w:p w14:paraId="2AD0A832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A40EF8" w14:textId="62908D31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PSI 09 – Perioperative Hemorrhage and Hematoma Rate:</w:t>
            </w:r>
          </w:p>
        </w:tc>
        <w:tc>
          <w:tcPr>
            <w:tcW w:w="2573" w:type="dxa"/>
          </w:tcPr>
          <w:p w14:paraId="36DF2180" w14:textId="11C4A3DD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4909902F" w14:textId="77777777" w:rsidTr="007D35F0">
        <w:tc>
          <w:tcPr>
            <w:tcW w:w="921" w:type="dxa"/>
            <w:vMerge/>
          </w:tcPr>
          <w:p w14:paraId="73D0AC69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0BCE0D1" w14:textId="0BF96515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rate of perioperative hemorrhage or hematoma per 1,000 discharges among surgical or medical patients 18 years or older.</w:t>
            </w:r>
          </w:p>
        </w:tc>
      </w:tr>
      <w:tr w:rsidR="00053EFD" w14:paraId="709FB4EF" w14:textId="77777777" w:rsidTr="008E08AB">
        <w:tc>
          <w:tcPr>
            <w:tcW w:w="921" w:type="dxa"/>
            <w:vMerge/>
          </w:tcPr>
          <w:p w14:paraId="075D0181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B09264" w14:textId="1DB6E3E9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PSI 10 – Postoperative Acute Kidney Injury Rate:</w:t>
            </w:r>
          </w:p>
        </w:tc>
        <w:tc>
          <w:tcPr>
            <w:tcW w:w="2573" w:type="dxa"/>
          </w:tcPr>
          <w:p w14:paraId="59ECE87C" w14:textId="3FCF0803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026E2D98" w14:textId="77777777" w:rsidTr="008E08AB">
        <w:tc>
          <w:tcPr>
            <w:tcW w:w="921" w:type="dxa"/>
            <w:vMerge/>
          </w:tcPr>
          <w:p w14:paraId="6698B8D2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D8136E" w14:textId="05F89408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rate of acute kidney failure or dialysis use per 1,000 discharges among elective surgical patients 18 years or older.</w:t>
            </w:r>
          </w:p>
        </w:tc>
      </w:tr>
      <w:tr w:rsidR="00053EFD" w14:paraId="47C0B937" w14:textId="77777777" w:rsidTr="008E08AB">
        <w:tc>
          <w:tcPr>
            <w:tcW w:w="921" w:type="dxa"/>
            <w:vMerge/>
          </w:tcPr>
          <w:p w14:paraId="2670CAA2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481173" w14:textId="2094A6D8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PSI 11 – Postoperative Respiratory Failure Rate:</w:t>
            </w:r>
          </w:p>
        </w:tc>
        <w:tc>
          <w:tcPr>
            <w:tcW w:w="2573" w:type="dxa"/>
          </w:tcPr>
          <w:p w14:paraId="70D21D73" w14:textId="047333CF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1F9F4BCE" w14:textId="77777777" w:rsidTr="008E08AB">
        <w:tc>
          <w:tcPr>
            <w:tcW w:w="921" w:type="dxa"/>
            <w:vMerge/>
          </w:tcPr>
          <w:p w14:paraId="216B50A0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ECAA816" w14:textId="79E1E34B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rate of acute respiratory failure, mechanical ventilation use following an operating room procedure, or reintubation per 1,000 discharges among elective surgical patients 18 years or older.</w:t>
            </w:r>
          </w:p>
        </w:tc>
      </w:tr>
      <w:tr w:rsidR="00053EFD" w14:paraId="64F059C5" w14:textId="77777777" w:rsidTr="008E08AB">
        <w:tc>
          <w:tcPr>
            <w:tcW w:w="921" w:type="dxa"/>
            <w:vMerge/>
          </w:tcPr>
          <w:p w14:paraId="1308D101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E3D9DE" w14:textId="62264539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PSI 12 – Perioperative Pulmonary Embolism and Deep Vein Thrombosis Rate:</w:t>
            </w:r>
          </w:p>
        </w:tc>
        <w:tc>
          <w:tcPr>
            <w:tcW w:w="2573" w:type="dxa"/>
          </w:tcPr>
          <w:p w14:paraId="7529F030" w14:textId="52974212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10EFDB2E" w14:textId="77777777" w:rsidTr="008E08AB">
        <w:tc>
          <w:tcPr>
            <w:tcW w:w="921" w:type="dxa"/>
            <w:vMerge/>
          </w:tcPr>
          <w:p w14:paraId="3C82FE0B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5030BFD" w14:textId="2C53A92F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rate of pulmonary embolism or proximal deep vein thrombosis per 1,000 discharges among surgical patients 18 years or older.</w:t>
            </w:r>
          </w:p>
        </w:tc>
      </w:tr>
      <w:tr w:rsidR="00053EFD" w14:paraId="75B24B9F" w14:textId="77777777" w:rsidTr="00164E20">
        <w:tc>
          <w:tcPr>
            <w:tcW w:w="921" w:type="dxa"/>
            <w:vMerge/>
          </w:tcPr>
          <w:p w14:paraId="4E6E6E26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B69558" w14:textId="46CE051B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PSI 13 – Postoperative Sepsis Rate:</w:t>
            </w:r>
          </w:p>
        </w:tc>
        <w:tc>
          <w:tcPr>
            <w:tcW w:w="2573" w:type="dxa"/>
          </w:tcPr>
          <w:p w14:paraId="178C1FF2" w14:textId="0FCE9D62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561B4FCE" w14:textId="77777777" w:rsidTr="00164E20">
        <w:tc>
          <w:tcPr>
            <w:tcW w:w="921" w:type="dxa"/>
            <w:vMerge/>
          </w:tcPr>
          <w:p w14:paraId="6187F06D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F55B55C" w14:textId="43570883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rate of sepsis per 1,000 discharges among elective surgical patients 18 years or older.</w:t>
            </w:r>
          </w:p>
        </w:tc>
      </w:tr>
      <w:tr w:rsidR="00053EFD" w14:paraId="25D5A193" w14:textId="77777777" w:rsidTr="00164E20">
        <w:tc>
          <w:tcPr>
            <w:tcW w:w="921" w:type="dxa"/>
            <w:vMerge/>
          </w:tcPr>
          <w:p w14:paraId="4ECD219C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E2018E" w14:textId="34826AAD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PSI 14 – Postoperative Wound Dehiscence Rate:</w:t>
            </w:r>
          </w:p>
        </w:tc>
        <w:tc>
          <w:tcPr>
            <w:tcW w:w="2573" w:type="dxa"/>
          </w:tcPr>
          <w:p w14:paraId="526272A9" w14:textId="04788136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4D1118A4" w14:textId="77777777" w:rsidTr="00164E20">
        <w:tc>
          <w:tcPr>
            <w:tcW w:w="921" w:type="dxa"/>
            <w:vMerge/>
          </w:tcPr>
          <w:p w14:paraId="49625677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BC2039B" w14:textId="0DD10B7D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rate of abdominal repair and disruption of internal surgical wound per 1,000 discharges among abdominopelvic surgical patients 18 years or older.</w:t>
            </w:r>
          </w:p>
        </w:tc>
      </w:tr>
      <w:tr w:rsidR="00053EFD" w14:paraId="711A414A" w14:textId="77777777" w:rsidTr="00164E20">
        <w:tc>
          <w:tcPr>
            <w:tcW w:w="921" w:type="dxa"/>
            <w:vMerge/>
          </w:tcPr>
          <w:p w14:paraId="662A4E77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E96142" w14:textId="25474EEC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PSI 15 – Unrecognized Abdominopelvic Accidental Puncture/Laceration Rate:</w:t>
            </w:r>
          </w:p>
        </w:tc>
        <w:tc>
          <w:tcPr>
            <w:tcW w:w="2573" w:type="dxa"/>
          </w:tcPr>
          <w:p w14:paraId="16450695" w14:textId="1E01A878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4140CF63" w14:textId="77777777" w:rsidTr="00164E20">
        <w:tc>
          <w:tcPr>
            <w:tcW w:w="921" w:type="dxa"/>
            <w:vMerge/>
          </w:tcPr>
          <w:p w14:paraId="2C40A412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1BB8095" w14:textId="0C108C0C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rate of accidental puncture or laceration during a procedure and subsequent abdominopelvic procedure per 1,000 discharges among abdominopelvic surgical patients 18 years or older.</w:t>
            </w:r>
          </w:p>
        </w:tc>
      </w:tr>
      <w:tr w:rsidR="00053EFD" w14:paraId="25588B3E" w14:textId="77777777" w:rsidTr="00330667">
        <w:tc>
          <w:tcPr>
            <w:tcW w:w="921" w:type="dxa"/>
            <w:vMerge/>
          </w:tcPr>
          <w:p w14:paraId="0D957FA5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FC85C4" w14:textId="7AE32D72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PSI 90 – Composite Patient Safety Measure:</w:t>
            </w:r>
          </w:p>
        </w:tc>
        <w:tc>
          <w:tcPr>
            <w:tcW w:w="2573" w:type="dxa"/>
          </w:tcPr>
          <w:p w14:paraId="76A4A4F0" w14:textId="40A8D1BF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Complications and Death Data</w:t>
            </w:r>
          </w:p>
        </w:tc>
      </w:tr>
      <w:tr w:rsidR="00053EFD" w14:paraId="0E7EC224" w14:textId="77777777" w:rsidTr="00330667">
        <w:tc>
          <w:tcPr>
            <w:tcW w:w="921" w:type="dxa"/>
            <w:vMerge/>
          </w:tcPr>
          <w:p w14:paraId="4EED7737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23DF8CE" w14:textId="2F2056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 weighted average of the PSI measures (except PSI 04). (I’m not sure how it’s weighted).</w:t>
            </w:r>
          </w:p>
        </w:tc>
      </w:tr>
      <w:tr w:rsidR="00053EFD" w14:paraId="5FAA5DA5" w14:textId="77777777" w:rsidTr="007304FD">
        <w:tc>
          <w:tcPr>
            <w:tcW w:w="10790" w:type="dxa"/>
            <w:gridSpan w:val="3"/>
            <w:shd w:val="clear" w:color="auto" w:fill="DAE9F7" w:themeFill="text2" w:themeFillTint="1A"/>
          </w:tcPr>
          <w:p w14:paraId="10888030" w14:textId="1CE7E845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Hospital Associated Infections</w:t>
            </w:r>
          </w:p>
        </w:tc>
      </w:tr>
      <w:tr w:rsidR="00053EFD" w14:paraId="4F197D51" w14:textId="77777777" w:rsidTr="00330667">
        <w:tc>
          <w:tcPr>
            <w:tcW w:w="921" w:type="dxa"/>
          </w:tcPr>
          <w:p w14:paraId="2883F1D2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70AFA4" w14:textId="51EFF31B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3B61B5">
              <w:rPr>
                <w:b/>
                <w:bCs/>
                <w:sz w:val="24"/>
                <w:szCs w:val="24"/>
              </w:rPr>
              <w:t xml:space="preserve">Central </w:t>
            </w:r>
            <w:r>
              <w:rPr>
                <w:b/>
                <w:bCs/>
                <w:sz w:val="24"/>
                <w:szCs w:val="24"/>
              </w:rPr>
              <w:t>Line-Associated</w:t>
            </w:r>
            <w:r w:rsidRPr="003B61B5">
              <w:rPr>
                <w:b/>
                <w:bCs/>
                <w:sz w:val="24"/>
                <w:szCs w:val="24"/>
              </w:rPr>
              <w:t xml:space="preserve"> Bloodstream Infection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</w:tcPr>
          <w:p w14:paraId="1A0F115B" w14:textId="29F06623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HAI Data</w:t>
            </w:r>
          </w:p>
        </w:tc>
      </w:tr>
      <w:tr w:rsidR="00053EFD" w14:paraId="0B89A59B" w14:textId="77777777" w:rsidTr="00330667">
        <w:tc>
          <w:tcPr>
            <w:tcW w:w="921" w:type="dxa"/>
          </w:tcPr>
          <w:p w14:paraId="13BA9F3C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8EFCEB" w14:textId="528B0A26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Rate of central line-associated bloodstream infections per 1,000 device days.</w:t>
            </w:r>
          </w:p>
        </w:tc>
      </w:tr>
      <w:tr w:rsidR="00053EFD" w14:paraId="58A76D84" w14:textId="77777777" w:rsidTr="00330667">
        <w:tc>
          <w:tcPr>
            <w:tcW w:w="921" w:type="dxa"/>
          </w:tcPr>
          <w:p w14:paraId="1272D8B9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94945E" w14:textId="072B4451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Catheter-Associated</w:t>
            </w:r>
            <w:r w:rsidRPr="003B61B5">
              <w:rPr>
                <w:b/>
                <w:bCs/>
                <w:sz w:val="24"/>
                <w:szCs w:val="24"/>
              </w:rPr>
              <w:t xml:space="preserve"> Urinary Tract Infections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</w:tcPr>
          <w:p w14:paraId="220C9B1D" w14:textId="1ED7FADC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HAI Data</w:t>
            </w:r>
          </w:p>
        </w:tc>
      </w:tr>
      <w:tr w:rsidR="00053EFD" w14:paraId="50D5F8AC" w14:textId="77777777" w:rsidTr="00330667">
        <w:tc>
          <w:tcPr>
            <w:tcW w:w="921" w:type="dxa"/>
          </w:tcPr>
          <w:p w14:paraId="66F4DA12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A39D49" w14:textId="5BF6946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Rate of catheter-associated urinary tract infections per 1,000 device days.</w:t>
            </w:r>
          </w:p>
        </w:tc>
      </w:tr>
      <w:tr w:rsidR="00053EFD" w14:paraId="15FE5896" w14:textId="77777777" w:rsidTr="002643AA">
        <w:tc>
          <w:tcPr>
            <w:tcW w:w="921" w:type="dxa"/>
          </w:tcPr>
          <w:p w14:paraId="03B3F322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C2415F" w14:textId="6A5307D5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3B61B5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 xml:space="preserve">urgical Site </w:t>
            </w:r>
            <w:r w:rsidRPr="003B61B5">
              <w:rPr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nfection</w:t>
            </w:r>
            <w:r w:rsidRPr="003B61B5">
              <w:rPr>
                <w:b/>
                <w:bCs/>
                <w:sz w:val="24"/>
                <w:szCs w:val="24"/>
              </w:rPr>
              <w:t xml:space="preserve"> - Colon Surgery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</w:tcPr>
          <w:p w14:paraId="4552D691" w14:textId="781CEB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HAI Data</w:t>
            </w:r>
          </w:p>
        </w:tc>
      </w:tr>
      <w:tr w:rsidR="00053EFD" w14:paraId="007A74A2" w14:textId="77777777" w:rsidTr="002643AA">
        <w:tc>
          <w:tcPr>
            <w:tcW w:w="921" w:type="dxa"/>
          </w:tcPr>
          <w:p w14:paraId="243CA347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38CED59" w14:textId="23459A00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Rate of surgical site infections per 1,000 colon surgery procedures. </w:t>
            </w:r>
          </w:p>
        </w:tc>
      </w:tr>
      <w:tr w:rsidR="00053EFD" w14:paraId="68E22301" w14:textId="77777777" w:rsidTr="002643AA">
        <w:tc>
          <w:tcPr>
            <w:tcW w:w="921" w:type="dxa"/>
          </w:tcPr>
          <w:p w14:paraId="3F37F5B0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2B347F" w14:textId="0BD1032B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Surgical Site Infection - </w:t>
            </w:r>
            <w:r w:rsidRPr="003B61B5">
              <w:rPr>
                <w:b/>
                <w:bCs/>
                <w:sz w:val="24"/>
                <w:szCs w:val="24"/>
              </w:rPr>
              <w:t>Abdominal Hysterectomy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</w:tcPr>
          <w:p w14:paraId="1C89ADED" w14:textId="07A0A6CD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HAI Data</w:t>
            </w:r>
          </w:p>
        </w:tc>
      </w:tr>
      <w:tr w:rsidR="00053EFD" w14:paraId="23FF8C15" w14:textId="77777777" w:rsidTr="002643AA">
        <w:tc>
          <w:tcPr>
            <w:tcW w:w="921" w:type="dxa"/>
          </w:tcPr>
          <w:p w14:paraId="05A2D925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7FDF07C" w14:textId="7085183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Rate of surgical site infections per 1,000 abdominal hysterectomy procedures.</w:t>
            </w:r>
          </w:p>
        </w:tc>
      </w:tr>
      <w:tr w:rsidR="00053EFD" w14:paraId="0EB727A5" w14:textId="77777777" w:rsidTr="002643AA">
        <w:tc>
          <w:tcPr>
            <w:tcW w:w="921" w:type="dxa"/>
          </w:tcPr>
          <w:p w14:paraId="3546A256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930B24" w14:textId="0644B53E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3B61B5">
              <w:rPr>
                <w:b/>
                <w:bCs/>
                <w:sz w:val="24"/>
                <w:szCs w:val="24"/>
              </w:rPr>
              <w:t>Methicillin-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3B61B5">
              <w:rPr>
                <w:b/>
                <w:bCs/>
                <w:sz w:val="24"/>
                <w:szCs w:val="24"/>
              </w:rPr>
              <w:t xml:space="preserve">esistant Staphylococcus </w:t>
            </w:r>
            <w:r>
              <w:rPr>
                <w:b/>
                <w:bCs/>
                <w:sz w:val="24"/>
                <w:szCs w:val="24"/>
              </w:rPr>
              <w:t>A</w:t>
            </w:r>
            <w:r w:rsidRPr="003B61B5">
              <w:rPr>
                <w:b/>
                <w:bCs/>
                <w:sz w:val="24"/>
                <w:szCs w:val="24"/>
              </w:rPr>
              <w:t>ureus</w:t>
            </w:r>
            <w:r>
              <w:rPr>
                <w:b/>
                <w:bCs/>
                <w:sz w:val="24"/>
                <w:szCs w:val="24"/>
              </w:rPr>
              <w:t xml:space="preserve"> (MRSA):</w:t>
            </w:r>
          </w:p>
        </w:tc>
        <w:tc>
          <w:tcPr>
            <w:tcW w:w="2573" w:type="dxa"/>
          </w:tcPr>
          <w:p w14:paraId="731F3167" w14:textId="5BD1A4BC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HAI Data</w:t>
            </w:r>
          </w:p>
        </w:tc>
      </w:tr>
      <w:tr w:rsidR="00053EFD" w14:paraId="775D81C4" w14:textId="77777777" w:rsidTr="002643AA">
        <w:tc>
          <w:tcPr>
            <w:tcW w:w="921" w:type="dxa"/>
          </w:tcPr>
          <w:p w14:paraId="1B3C6CB0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C118663" w14:textId="2B668EC3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Rate of MRSA infections per 1,000 patient days.</w:t>
            </w:r>
          </w:p>
        </w:tc>
      </w:tr>
      <w:tr w:rsidR="00053EFD" w14:paraId="495DAF61" w14:textId="77777777" w:rsidTr="00574A47">
        <w:tc>
          <w:tcPr>
            <w:tcW w:w="921" w:type="dxa"/>
          </w:tcPr>
          <w:p w14:paraId="56C36D63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72ABB7" w14:textId="2B97C391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3B61B5">
              <w:rPr>
                <w:b/>
                <w:bCs/>
                <w:sz w:val="24"/>
                <w:szCs w:val="24"/>
              </w:rPr>
              <w:t>Clostridium Difficile (C.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B61B5">
              <w:rPr>
                <w:b/>
                <w:bCs/>
                <w:sz w:val="24"/>
                <w:szCs w:val="24"/>
              </w:rPr>
              <w:t>Diff)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</w:tcPr>
          <w:p w14:paraId="74325116" w14:textId="4BFAC653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HAI Data</w:t>
            </w:r>
          </w:p>
        </w:tc>
      </w:tr>
      <w:tr w:rsidR="00053EFD" w14:paraId="22C8E38D" w14:textId="77777777" w:rsidTr="00574A47">
        <w:tc>
          <w:tcPr>
            <w:tcW w:w="921" w:type="dxa"/>
          </w:tcPr>
          <w:p w14:paraId="4AF84EAE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64D692E" w14:textId="7836576E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Rate of C. Diff infections per 1,000 patient days.</w:t>
            </w:r>
          </w:p>
        </w:tc>
      </w:tr>
      <w:tr w:rsidR="002F5BEF" w14:paraId="70B9759E" w14:textId="77777777" w:rsidTr="002F5BEF">
        <w:tc>
          <w:tcPr>
            <w:tcW w:w="921" w:type="dxa"/>
          </w:tcPr>
          <w:p w14:paraId="38B70BBC" w14:textId="77777777" w:rsidR="002F5BEF" w:rsidRDefault="002F5BEF" w:rsidP="002F5BE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7CBF3A2" w14:textId="55B00918" w:rsidR="002F5BEF" w:rsidRDefault="002F5BEF" w:rsidP="002F5BE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Air Embolism Rate:</w:t>
            </w: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4A0BF4" w14:textId="1C1926FB" w:rsidR="002F5BEF" w:rsidRDefault="002F5BEF" w:rsidP="002F5BE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CMS HAC</w:t>
            </w:r>
            <w:r w:rsidR="00E778AF">
              <w:rPr>
                <w:b/>
                <w:bCs/>
                <w:sz w:val="24"/>
                <w:szCs w:val="24"/>
              </w:rPr>
              <w:t xml:space="preserve"> Data</w:t>
            </w:r>
          </w:p>
        </w:tc>
      </w:tr>
      <w:tr w:rsidR="002F5BEF" w14:paraId="2EE023DA" w14:textId="77777777" w:rsidTr="00574A47">
        <w:tc>
          <w:tcPr>
            <w:tcW w:w="921" w:type="dxa"/>
          </w:tcPr>
          <w:p w14:paraId="15E21068" w14:textId="77777777" w:rsidR="002F5BEF" w:rsidRDefault="002F5BEF" w:rsidP="002F5BE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C9C2FBD" w14:textId="566AD48B" w:rsidR="002F5BEF" w:rsidRDefault="002F5BEF" w:rsidP="002F5B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Rate of air embolism </w:t>
            </w:r>
            <w:r>
              <w:rPr>
                <w:sz w:val="24"/>
                <w:szCs w:val="24"/>
                <w:lang w:val="en-US"/>
              </w:rPr>
              <w:t>per 1,000 discharges among surgical or medical patients 18 years or older.</w:t>
            </w:r>
          </w:p>
        </w:tc>
      </w:tr>
      <w:tr w:rsidR="002F5BEF" w14:paraId="3F324E07" w14:textId="77777777" w:rsidTr="002F5BEF">
        <w:tc>
          <w:tcPr>
            <w:tcW w:w="921" w:type="dxa"/>
          </w:tcPr>
          <w:p w14:paraId="07AADE48" w14:textId="77777777" w:rsidR="002F5BEF" w:rsidRDefault="002F5BEF" w:rsidP="002F5BE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D548D3C" w14:textId="5B68B003" w:rsidR="002F5BEF" w:rsidRDefault="002F5BEF" w:rsidP="002F5BE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Foreign Object Retained Rate:</w:t>
            </w: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1E370A" w14:textId="2EE3C029" w:rsidR="002F5BEF" w:rsidRDefault="002F5BEF" w:rsidP="002F5BE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CMS HAC</w:t>
            </w:r>
            <w:r w:rsidR="00E778AF">
              <w:rPr>
                <w:b/>
                <w:bCs/>
                <w:sz w:val="24"/>
                <w:szCs w:val="24"/>
              </w:rPr>
              <w:t xml:space="preserve"> Data</w:t>
            </w:r>
          </w:p>
        </w:tc>
      </w:tr>
      <w:tr w:rsidR="002F5BEF" w14:paraId="143F7887" w14:textId="77777777" w:rsidTr="00574A47">
        <w:tc>
          <w:tcPr>
            <w:tcW w:w="921" w:type="dxa"/>
          </w:tcPr>
          <w:p w14:paraId="07E842C1" w14:textId="77777777" w:rsidR="002F5BEF" w:rsidRDefault="002F5BEF" w:rsidP="002F5BE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455A247" w14:textId="48553DC9" w:rsidR="002F5BEF" w:rsidRDefault="002F5BEF" w:rsidP="002F5B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rate of foreign objects accidentally left during a procedure per 1,000 discharges among surgical patients 18 years or older.</w:t>
            </w:r>
          </w:p>
        </w:tc>
      </w:tr>
      <w:tr w:rsidR="002F5BEF" w14:paraId="071578A7" w14:textId="77777777" w:rsidTr="002F5BEF">
        <w:tc>
          <w:tcPr>
            <w:tcW w:w="921" w:type="dxa"/>
          </w:tcPr>
          <w:p w14:paraId="0ED0DE90" w14:textId="77777777" w:rsidR="002F5BEF" w:rsidRDefault="002F5BEF" w:rsidP="002F5BE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58873AC" w14:textId="093030FF" w:rsidR="002F5BEF" w:rsidRDefault="002F5BEF" w:rsidP="002F5BE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Falls and Trauma Rate:</w:t>
            </w: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DF6FB59" w14:textId="492DCB5C" w:rsidR="002F5BEF" w:rsidRDefault="002F5BEF" w:rsidP="002F5BE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CMS HAC</w:t>
            </w:r>
            <w:r w:rsidR="00E778AF">
              <w:rPr>
                <w:b/>
                <w:bCs/>
                <w:sz w:val="24"/>
                <w:szCs w:val="24"/>
              </w:rPr>
              <w:t xml:space="preserve"> Data</w:t>
            </w:r>
          </w:p>
        </w:tc>
      </w:tr>
      <w:tr w:rsidR="002F5BEF" w14:paraId="7CD7664A" w14:textId="77777777" w:rsidTr="00574A47">
        <w:tc>
          <w:tcPr>
            <w:tcW w:w="921" w:type="dxa"/>
          </w:tcPr>
          <w:p w14:paraId="5DC240C2" w14:textId="77777777" w:rsidR="002F5BEF" w:rsidRDefault="002F5BEF" w:rsidP="002F5BE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03B451F" w14:textId="28521C86" w:rsidR="002F5BEF" w:rsidRDefault="002F5BEF" w:rsidP="002F5B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rate of falls and trauma in hospital </w:t>
            </w:r>
            <w:r w:rsidRPr="00AB0140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including</w:t>
            </w:r>
            <w:r w:rsidRPr="00AB0140">
              <w:rPr>
                <w:sz w:val="24"/>
                <w:szCs w:val="24"/>
                <w:lang w:val="en-US"/>
              </w:rPr>
              <w:t xml:space="preserve"> fractures, dislocations, intracranial injuries, crushing injuries, burns, </w:t>
            </w:r>
            <w:r>
              <w:rPr>
                <w:sz w:val="24"/>
                <w:szCs w:val="24"/>
                <w:lang w:val="en-US"/>
              </w:rPr>
              <w:t xml:space="preserve">and </w:t>
            </w:r>
            <w:r w:rsidRPr="00AB0140">
              <w:rPr>
                <w:sz w:val="24"/>
                <w:szCs w:val="24"/>
                <w:lang w:val="en-US"/>
              </w:rPr>
              <w:t>other injuries)</w:t>
            </w:r>
            <w:r>
              <w:rPr>
                <w:sz w:val="24"/>
                <w:szCs w:val="24"/>
                <w:lang w:val="en-US"/>
              </w:rPr>
              <w:t xml:space="preserve"> per 1,000 discharges among surgical or medical patients 18 years or older.</w:t>
            </w:r>
          </w:p>
        </w:tc>
      </w:tr>
      <w:tr w:rsidR="00053EFD" w14:paraId="7F0A9696" w14:textId="77777777" w:rsidTr="003B61B5">
        <w:tc>
          <w:tcPr>
            <w:tcW w:w="10790" w:type="dxa"/>
            <w:gridSpan w:val="3"/>
            <w:shd w:val="clear" w:color="auto" w:fill="DAE9F7" w:themeFill="text2" w:themeFillTint="1A"/>
          </w:tcPr>
          <w:p w14:paraId="627008B3" w14:textId="4C15174D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Safe Practices</w:t>
            </w:r>
          </w:p>
        </w:tc>
      </w:tr>
      <w:tr w:rsidR="00053EFD" w14:paraId="0F482A8B" w14:textId="77777777" w:rsidTr="00574A47">
        <w:tc>
          <w:tcPr>
            <w:tcW w:w="921" w:type="dxa"/>
          </w:tcPr>
          <w:p w14:paraId="1EE96709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16D55B" w14:textId="3BA0BDE9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Computerized Physician Order Entry Score:</w:t>
            </w:r>
          </w:p>
        </w:tc>
        <w:tc>
          <w:tcPr>
            <w:tcW w:w="2573" w:type="dxa"/>
          </w:tcPr>
          <w:p w14:paraId="4A03CFD0" w14:textId="5BD14DAF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Leapfrog Hospital Survey</w:t>
            </w:r>
          </w:p>
        </w:tc>
      </w:tr>
      <w:tr w:rsidR="00053EFD" w14:paraId="37BF76D2" w14:textId="77777777" w:rsidTr="00574A47">
        <w:tc>
          <w:tcPr>
            <w:tcW w:w="921" w:type="dxa"/>
          </w:tcPr>
          <w:p w14:paraId="781E809A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13570BD" w14:textId="77777777" w:rsidR="00053EFD" w:rsidRDefault="00053EFD" w:rsidP="00053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score given by the Leapfrog CPOE Evaluation tool tests a hospital’s </w:t>
            </w:r>
            <w:r w:rsidRPr="009A63F7">
              <w:rPr>
                <w:sz w:val="24"/>
                <w:szCs w:val="24"/>
              </w:rPr>
              <w:t xml:space="preserve">decision support software </w:t>
            </w:r>
            <w:r>
              <w:rPr>
                <w:sz w:val="24"/>
                <w:szCs w:val="24"/>
              </w:rPr>
              <w:t xml:space="preserve">used </w:t>
            </w:r>
            <w:r w:rsidRPr="009A63F7">
              <w:rPr>
                <w:sz w:val="24"/>
                <w:szCs w:val="24"/>
              </w:rPr>
              <w:t>to reduce prescribing errors</w:t>
            </w:r>
            <w:r>
              <w:rPr>
                <w:sz w:val="24"/>
                <w:szCs w:val="24"/>
              </w:rPr>
              <w:t>. The test is comprised of a set of test patients and test orders. The test taker then records the advice and information they receive from the hospital’s CPOE.</w:t>
            </w:r>
          </w:p>
          <w:p w14:paraId="06CD4D66" w14:textId="77777777" w:rsidR="00053EFD" w:rsidRDefault="00053EFD" w:rsidP="00053EFD">
            <w:pPr>
              <w:rPr>
                <w:sz w:val="24"/>
                <w:szCs w:val="24"/>
              </w:rPr>
            </w:pPr>
          </w:p>
          <w:p w14:paraId="47202886" w14:textId="2128D9E4" w:rsidR="00053EFD" w:rsidRPr="009A63F7" w:rsidRDefault="00053EFD" w:rsidP="00053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Source: </w:t>
            </w:r>
            <w:r w:rsidRPr="009E6AA3">
              <w:rPr>
                <w:sz w:val="24"/>
                <w:szCs w:val="24"/>
              </w:rPr>
              <w:t>https://www.leapfroggroup.org/survey-materials/prepare-cpoe-tool</w:t>
            </w:r>
          </w:p>
        </w:tc>
      </w:tr>
      <w:tr w:rsidR="00053EFD" w14:paraId="09A565D6" w14:textId="77777777" w:rsidTr="00574A47">
        <w:tc>
          <w:tcPr>
            <w:tcW w:w="921" w:type="dxa"/>
          </w:tcPr>
          <w:p w14:paraId="2602CE47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52B501" w14:textId="3A5D5C80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Bar Code Medication Administration Score:</w:t>
            </w:r>
          </w:p>
        </w:tc>
        <w:tc>
          <w:tcPr>
            <w:tcW w:w="2573" w:type="dxa"/>
          </w:tcPr>
          <w:p w14:paraId="51F6F1C1" w14:textId="1931B9FA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Leapfrog Hospital Survey</w:t>
            </w:r>
          </w:p>
        </w:tc>
      </w:tr>
      <w:tr w:rsidR="00053EFD" w14:paraId="4ED6CD51" w14:textId="77777777" w:rsidTr="00574A47">
        <w:tc>
          <w:tcPr>
            <w:tcW w:w="921" w:type="dxa"/>
          </w:tcPr>
          <w:p w14:paraId="0A1DEFB1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8C5E2C" w14:textId="77777777" w:rsidR="00053EFD" w:rsidRDefault="00053EFD" w:rsidP="0005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Measures the level of implementation of BCMA by asking questions concerning:</w:t>
            </w:r>
          </w:p>
          <w:p w14:paraId="1ADD682F" w14:textId="110CF1FA" w:rsidR="00053EFD" w:rsidRPr="00534E2B" w:rsidRDefault="00053EFD" w:rsidP="00053EFD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34E2B">
              <w:rPr>
                <w:sz w:val="24"/>
                <w:szCs w:val="24"/>
              </w:rPr>
              <w:t>The extent of the implementation throughout the hospital</w:t>
            </w:r>
            <w:r>
              <w:rPr>
                <w:sz w:val="24"/>
                <w:szCs w:val="24"/>
              </w:rPr>
              <w:t>.</w:t>
            </w:r>
          </w:p>
          <w:p w14:paraId="6687EEBF" w14:textId="7805C96A" w:rsidR="00053EFD" w:rsidRPr="00534E2B" w:rsidRDefault="00053EFD" w:rsidP="00053EFD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34E2B">
              <w:rPr>
                <w:sz w:val="24"/>
                <w:szCs w:val="24"/>
              </w:rPr>
              <w:t>The hospital’s compliance with bedside scans</w:t>
            </w:r>
            <w:r>
              <w:rPr>
                <w:sz w:val="24"/>
                <w:szCs w:val="24"/>
              </w:rPr>
              <w:t>.</w:t>
            </w:r>
          </w:p>
          <w:p w14:paraId="2D27BF67" w14:textId="6E972BA0" w:rsidR="00053EFD" w:rsidRPr="00534E2B" w:rsidRDefault="00053EFD" w:rsidP="00053EFD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34E2B">
              <w:rPr>
                <w:sz w:val="24"/>
                <w:szCs w:val="24"/>
              </w:rPr>
              <w:t>The types of decisions that support the BCMA system offers</w:t>
            </w:r>
            <w:r>
              <w:rPr>
                <w:sz w:val="24"/>
                <w:szCs w:val="24"/>
              </w:rPr>
              <w:t>.</w:t>
            </w:r>
          </w:p>
          <w:p w14:paraId="4F7F5F98" w14:textId="38719249" w:rsidR="00053EFD" w:rsidRDefault="00053EFD" w:rsidP="00053EFD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34E2B">
              <w:rPr>
                <w:sz w:val="24"/>
                <w:szCs w:val="24"/>
              </w:rPr>
              <w:t>The hospital’s structures to monitor and reduce workarounds</w:t>
            </w:r>
            <w:r>
              <w:rPr>
                <w:sz w:val="24"/>
                <w:szCs w:val="24"/>
              </w:rPr>
              <w:t>.</w:t>
            </w:r>
          </w:p>
          <w:p w14:paraId="55E4B4E3" w14:textId="77777777" w:rsidR="00053EFD" w:rsidRDefault="00053EFD" w:rsidP="00053EFD">
            <w:pPr>
              <w:pStyle w:val="ListParagraph"/>
              <w:rPr>
                <w:sz w:val="24"/>
                <w:szCs w:val="24"/>
              </w:rPr>
            </w:pPr>
          </w:p>
          <w:p w14:paraId="438134E3" w14:textId="6BDCDD76" w:rsidR="00053EFD" w:rsidRPr="009E6AA3" w:rsidRDefault="00053EFD" w:rsidP="00053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Source: </w:t>
            </w:r>
            <w:r w:rsidRPr="009E6AA3">
              <w:rPr>
                <w:sz w:val="24"/>
                <w:szCs w:val="24"/>
              </w:rPr>
              <w:t>https://ratings.leapfroggroup.org/sites/default/files/2020-08/2020-BCMA-Fact-Sheet.pdf</w:t>
            </w:r>
          </w:p>
        </w:tc>
      </w:tr>
      <w:tr w:rsidR="00053EFD" w14:paraId="029B8A77" w14:textId="77777777" w:rsidTr="00147D20">
        <w:tc>
          <w:tcPr>
            <w:tcW w:w="921" w:type="dxa"/>
          </w:tcPr>
          <w:p w14:paraId="2938446C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4804EE" w14:textId="47A1DA90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ICU Physician Staffing Score:</w:t>
            </w:r>
          </w:p>
        </w:tc>
        <w:tc>
          <w:tcPr>
            <w:tcW w:w="2573" w:type="dxa"/>
          </w:tcPr>
          <w:p w14:paraId="74F1FD9E" w14:textId="23B85AA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Leapfrog Hospital Survey</w:t>
            </w:r>
          </w:p>
        </w:tc>
      </w:tr>
      <w:tr w:rsidR="00053EFD" w14:paraId="7506F688" w14:textId="77777777" w:rsidTr="00147D20">
        <w:tc>
          <w:tcPr>
            <w:tcW w:w="921" w:type="dxa"/>
          </w:tcPr>
          <w:p w14:paraId="6231AEAD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82702E" w14:textId="77777777" w:rsidR="00053EFD" w:rsidRDefault="00053EFD" w:rsidP="0005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Measures the extent to which the care of critical care patients is managed by board-certified physicians who are additionally certified in the subspecialty of critical care medicine.</w:t>
            </w:r>
          </w:p>
          <w:p w14:paraId="7DF5BC81" w14:textId="77777777" w:rsidR="00053EFD" w:rsidRDefault="00053EFD" w:rsidP="00053EFD">
            <w:pPr>
              <w:rPr>
                <w:sz w:val="24"/>
                <w:szCs w:val="24"/>
                <w:lang w:val="en-US"/>
              </w:rPr>
            </w:pPr>
          </w:p>
          <w:p w14:paraId="4028B726" w14:textId="19A857C1" w:rsidR="00053EFD" w:rsidRPr="009E6AA3" w:rsidRDefault="00053EFD" w:rsidP="00053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Source: </w:t>
            </w:r>
            <w:r w:rsidRPr="009E6AA3">
              <w:rPr>
                <w:sz w:val="24"/>
                <w:szCs w:val="24"/>
              </w:rPr>
              <w:t>https://ratings.leapfroggroup.org/sites/default/files/inline-files/2022%20IPS%20Fact%20Sheet_0.pdf</w:t>
            </w:r>
          </w:p>
        </w:tc>
      </w:tr>
      <w:tr w:rsidR="00053EFD" w14:paraId="7C5426D1" w14:textId="77777777" w:rsidTr="00147D20">
        <w:tc>
          <w:tcPr>
            <w:tcW w:w="921" w:type="dxa"/>
          </w:tcPr>
          <w:p w14:paraId="5291782D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6BC91A" w14:textId="420E52F4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SP1 - Leadership Structures and Systems Score:</w:t>
            </w:r>
          </w:p>
        </w:tc>
        <w:tc>
          <w:tcPr>
            <w:tcW w:w="2573" w:type="dxa"/>
          </w:tcPr>
          <w:p w14:paraId="7B0EA81C" w14:textId="727A804C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Leapfrog Hospital Survey</w:t>
            </w:r>
          </w:p>
        </w:tc>
      </w:tr>
      <w:tr w:rsidR="00053EFD" w14:paraId="1FC0483E" w14:textId="77777777" w:rsidTr="00147D20">
        <w:tc>
          <w:tcPr>
            <w:tcW w:w="921" w:type="dxa"/>
          </w:tcPr>
          <w:p w14:paraId="1E4ED38E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DE87136" w14:textId="19A727ED" w:rsidR="00053EFD" w:rsidRDefault="00053EFD" w:rsidP="0005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Measures the hospital’s progress toward establishing a culture of safety by assessing:</w:t>
            </w:r>
          </w:p>
          <w:p w14:paraId="748D758E" w14:textId="2AEAF5D6" w:rsidR="00053EFD" w:rsidRDefault="00053EFD" w:rsidP="00053EFD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F83DCE">
              <w:rPr>
                <w:sz w:val="24"/>
                <w:szCs w:val="24"/>
              </w:rPr>
              <w:t>Awareness of</w:t>
            </w:r>
            <w:r>
              <w:rPr>
                <w:sz w:val="24"/>
                <w:szCs w:val="24"/>
              </w:rPr>
              <w:t xml:space="preserve"> board members about safety issues; i</w:t>
            </w:r>
            <w:r w:rsidRPr="00F83DCE">
              <w:rPr>
                <w:sz w:val="24"/>
                <w:szCs w:val="24"/>
              </w:rPr>
              <w:t>ncluding patients and their families in safety and quality committees</w:t>
            </w:r>
            <w:r>
              <w:rPr>
                <w:sz w:val="24"/>
                <w:szCs w:val="24"/>
              </w:rPr>
              <w:t>;</w:t>
            </w:r>
            <w:r w:rsidRPr="00F83DCE">
              <w:rPr>
                <w:sz w:val="24"/>
                <w:szCs w:val="24"/>
              </w:rPr>
              <w:t xml:space="preserve"> and reporting events to the community and to staff</w:t>
            </w:r>
            <w:r>
              <w:rPr>
                <w:sz w:val="24"/>
                <w:szCs w:val="24"/>
              </w:rPr>
              <w:t>.</w:t>
            </w:r>
          </w:p>
          <w:p w14:paraId="172E6867" w14:textId="074CDDF0" w:rsidR="00053EFD" w:rsidRDefault="00053EFD" w:rsidP="00053EFD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Appointing safety-specific leadership, and incorporating safety system </w:t>
            </w:r>
            <w:proofErr w:type="gramStart"/>
            <w:r>
              <w:rPr>
                <w:sz w:val="24"/>
                <w:szCs w:val="24"/>
              </w:rPr>
              <w:t>performance .into</w:t>
            </w:r>
            <w:proofErr w:type="gramEnd"/>
            <w:r>
              <w:rPr>
                <w:sz w:val="24"/>
                <w:szCs w:val="24"/>
              </w:rPr>
              <w:t xml:space="preserve"> performance reviews and compensation.</w:t>
            </w:r>
          </w:p>
          <w:p w14:paraId="5E2C8E12" w14:textId="38ABD112" w:rsidR="00053EFD" w:rsidRDefault="00053EFD" w:rsidP="00053EFD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Investing in patient safety programs.</w:t>
            </w:r>
          </w:p>
          <w:p w14:paraId="1E5A9201" w14:textId="12E5EEAF" w:rsidR="00053EFD" w:rsidRDefault="00053EFD" w:rsidP="00053EFD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Including senior leadership in patient safety meetings.</w:t>
            </w:r>
          </w:p>
          <w:p w14:paraId="5A0BC532" w14:textId="77777777" w:rsidR="00053EFD" w:rsidRDefault="00053EFD" w:rsidP="00053EFD">
            <w:pPr>
              <w:pStyle w:val="ListParagraph"/>
              <w:rPr>
                <w:sz w:val="24"/>
                <w:szCs w:val="24"/>
              </w:rPr>
            </w:pPr>
          </w:p>
          <w:p w14:paraId="33780E10" w14:textId="141D61DA" w:rsidR="00053EFD" w:rsidRPr="009E6AA3" w:rsidRDefault="00053EFD" w:rsidP="00053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Source: </w:t>
            </w:r>
            <w:r w:rsidRPr="009E6AA3">
              <w:rPr>
                <w:sz w:val="24"/>
                <w:szCs w:val="24"/>
              </w:rPr>
              <w:t>https://ratings.leapfroggroup.org/measure/hospital/2024/effective-leadership-prevent-errors</w:t>
            </w:r>
          </w:p>
        </w:tc>
      </w:tr>
      <w:tr w:rsidR="00053EFD" w14:paraId="00531C5D" w14:textId="77777777" w:rsidTr="00147D20">
        <w:tc>
          <w:tcPr>
            <w:tcW w:w="921" w:type="dxa"/>
          </w:tcPr>
          <w:p w14:paraId="70CC1E03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224B91" w14:textId="7F9F7722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SP2 – Culture Measurement Feedback and Intervention Score:</w:t>
            </w:r>
          </w:p>
        </w:tc>
        <w:tc>
          <w:tcPr>
            <w:tcW w:w="2573" w:type="dxa"/>
          </w:tcPr>
          <w:p w14:paraId="7CB9D5FC" w14:textId="6098D653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Leapfrog Hospital Survey</w:t>
            </w:r>
          </w:p>
        </w:tc>
      </w:tr>
      <w:tr w:rsidR="00053EFD" w14:paraId="66F4151A" w14:textId="77777777" w:rsidTr="00147D20">
        <w:tc>
          <w:tcPr>
            <w:tcW w:w="921" w:type="dxa"/>
          </w:tcPr>
          <w:p w14:paraId="0E0F96B1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9010934" w14:textId="3CA6B16D" w:rsidR="00053EFD" w:rsidRDefault="00053EFD" w:rsidP="0005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Measures whether the hospital has taken action to measure patient safety culture and what interventions are undertaken to reduce patient harm. It considers:</w:t>
            </w:r>
          </w:p>
          <w:p w14:paraId="0E95B369" w14:textId="1A025E2F" w:rsidR="00053EFD" w:rsidRPr="009A0BDE" w:rsidRDefault="00053EFD" w:rsidP="00053EFD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A0BDE">
              <w:rPr>
                <w:sz w:val="24"/>
                <w:szCs w:val="24"/>
              </w:rPr>
              <w:t>Staff awareness of safety practices</w:t>
            </w:r>
            <w:r>
              <w:rPr>
                <w:sz w:val="24"/>
                <w:szCs w:val="24"/>
              </w:rPr>
              <w:t>.</w:t>
            </w:r>
          </w:p>
          <w:p w14:paraId="603003DA" w14:textId="67E3E3CC" w:rsidR="00053EFD" w:rsidRPr="009A0BDE" w:rsidRDefault="00053EFD" w:rsidP="00053EFD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A0BDE">
              <w:rPr>
                <w:sz w:val="24"/>
                <w:szCs w:val="24"/>
              </w:rPr>
              <w:t>Accountability of leadership for survey response rates</w:t>
            </w:r>
            <w:r>
              <w:rPr>
                <w:sz w:val="24"/>
                <w:szCs w:val="24"/>
              </w:rPr>
              <w:t>.</w:t>
            </w:r>
          </w:p>
          <w:p w14:paraId="207DAACC" w14:textId="2CA70830" w:rsidR="00053EFD" w:rsidRPr="009A0BDE" w:rsidRDefault="00053EFD" w:rsidP="00053EFD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A0BDE">
              <w:rPr>
                <w:sz w:val="24"/>
                <w:szCs w:val="24"/>
              </w:rPr>
              <w:t>Whether staff education programs are in place</w:t>
            </w:r>
            <w:r>
              <w:rPr>
                <w:sz w:val="24"/>
                <w:szCs w:val="24"/>
              </w:rPr>
              <w:t>.</w:t>
            </w:r>
          </w:p>
          <w:p w14:paraId="04B6F070" w14:textId="45386878" w:rsidR="00053EFD" w:rsidRPr="009E6AA3" w:rsidRDefault="00053EFD" w:rsidP="00053EFD">
            <w:pPr>
              <w:pStyle w:val="ListParagraph"/>
              <w:numPr>
                <w:ilvl w:val="0"/>
                <w:numId w:val="28"/>
              </w:numPr>
              <w:rPr>
                <w:b/>
                <w:bCs/>
                <w:sz w:val="24"/>
                <w:szCs w:val="24"/>
              </w:rPr>
            </w:pPr>
            <w:r w:rsidRPr="009A0BDE">
              <w:rPr>
                <w:sz w:val="24"/>
                <w:szCs w:val="24"/>
              </w:rPr>
              <w:t>The development and deployment of procedures to measure culture and identify</w:t>
            </w:r>
            <w:r>
              <w:rPr>
                <w:sz w:val="24"/>
                <w:szCs w:val="24"/>
              </w:rPr>
              <w:t xml:space="preserve"> </w:t>
            </w:r>
            <w:r w:rsidRPr="009A0BDE">
              <w:rPr>
                <w:sz w:val="24"/>
                <w:szCs w:val="24"/>
              </w:rPr>
              <w:t>performance improvement interventions</w:t>
            </w:r>
            <w:r>
              <w:rPr>
                <w:sz w:val="24"/>
                <w:szCs w:val="24"/>
              </w:rPr>
              <w:t>.</w:t>
            </w:r>
          </w:p>
          <w:p w14:paraId="76E0DE08" w14:textId="77777777" w:rsidR="00053EFD" w:rsidRPr="009E6AA3" w:rsidRDefault="00053EFD" w:rsidP="00053EFD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6F13D58B" w14:textId="5B6D01A8" w:rsidR="00053EFD" w:rsidRPr="009E6AA3" w:rsidRDefault="00053EFD" w:rsidP="00053EFD">
            <w:pPr>
              <w:rPr>
                <w:sz w:val="24"/>
                <w:szCs w:val="24"/>
              </w:rPr>
            </w:pPr>
            <w:r w:rsidRPr="009E6AA3">
              <w:rPr>
                <w:sz w:val="24"/>
                <w:szCs w:val="24"/>
              </w:rPr>
              <w:t>Source</w:t>
            </w:r>
            <w:r>
              <w:rPr>
                <w:sz w:val="24"/>
                <w:szCs w:val="24"/>
              </w:rPr>
              <w:t xml:space="preserve">: </w:t>
            </w:r>
            <w:r w:rsidRPr="009E6AA3">
              <w:rPr>
                <w:sz w:val="24"/>
                <w:szCs w:val="24"/>
              </w:rPr>
              <w:t>https://ratings.leapfroggroup.org/measure/hospital/2024/staff-work-together-prevent-errors</w:t>
            </w:r>
          </w:p>
        </w:tc>
      </w:tr>
      <w:tr w:rsidR="00053EFD" w14:paraId="71C76F6A" w14:textId="77777777" w:rsidTr="00125799">
        <w:tc>
          <w:tcPr>
            <w:tcW w:w="921" w:type="dxa"/>
          </w:tcPr>
          <w:p w14:paraId="42762C79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C2D7E5" w14:textId="2C6802D0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SP9 - Nursing Workforce Score:</w:t>
            </w:r>
          </w:p>
        </w:tc>
        <w:tc>
          <w:tcPr>
            <w:tcW w:w="2573" w:type="dxa"/>
          </w:tcPr>
          <w:p w14:paraId="03E13553" w14:textId="62630B96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Leapfrog Hospital Survey</w:t>
            </w:r>
          </w:p>
        </w:tc>
      </w:tr>
      <w:tr w:rsidR="00053EFD" w14:paraId="27669CFE" w14:textId="77777777" w:rsidTr="00125799">
        <w:tc>
          <w:tcPr>
            <w:tcW w:w="921" w:type="dxa"/>
          </w:tcPr>
          <w:p w14:paraId="4DCE177B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85A7FD3" w14:textId="77777777" w:rsidR="00053EFD" w:rsidRDefault="00053EFD" w:rsidP="0005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Measures the extent to which the hospital has enough nurses and the appropriate mix of nurses to care for patients. This measure considers:</w:t>
            </w:r>
          </w:p>
          <w:p w14:paraId="32E68623" w14:textId="77777777" w:rsidR="00053EFD" w:rsidRPr="009A0BDE" w:rsidRDefault="00053EFD" w:rsidP="00053EF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lang w:val="en-US"/>
              </w:rPr>
            </w:pPr>
            <w:r w:rsidRPr="009A0BDE">
              <w:rPr>
                <w:sz w:val="24"/>
                <w:szCs w:val="24"/>
                <w:lang w:val="en-US"/>
              </w:rPr>
              <w:t>The number of nursing hours per patient,</w:t>
            </w:r>
          </w:p>
          <w:p w14:paraId="50B4C74D" w14:textId="77777777" w:rsidR="00053EFD" w:rsidRPr="009A0BDE" w:rsidRDefault="00053EFD" w:rsidP="00053EF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9A0BDE">
              <w:rPr>
                <w:sz w:val="24"/>
                <w:szCs w:val="24"/>
                <w:lang w:val="en-US"/>
              </w:rPr>
              <w:t xml:space="preserve">he </w:t>
            </w:r>
            <w:r>
              <w:rPr>
                <w:sz w:val="24"/>
                <w:szCs w:val="24"/>
                <w:lang w:val="en-US"/>
              </w:rPr>
              <w:t>percentage</w:t>
            </w:r>
            <w:r w:rsidRPr="009A0BDE">
              <w:rPr>
                <w:sz w:val="24"/>
                <w:szCs w:val="24"/>
                <w:lang w:val="en-US"/>
              </w:rPr>
              <w:t xml:space="preserve"> of nurses who are RNs, and</w:t>
            </w:r>
          </w:p>
          <w:p w14:paraId="424EC5F7" w14:textId="77777777" w:rsidR="00053EFD" w:rsidRPr="009E6AA3" w:rsidRDefault="00053EFD" w:rsidP="00053EFD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9A0BDE">
              <w:rPr>
                <w:sz w:val="24"/>
                <w:szCs w:val="24"/>
                <w:lang w:val="en-US"/>
              </w:rPr>
              <w:t>he percentage of RNs with a bachelor’s degree.</w:t>
            </w:r>
          </w:p>
          <w:p w14:paraId="630D6B45" w14:textId="77777777" w:rsidR="00053EFD" w:rsidRPr="009E6AA3" w:rsidRDefault="00053EFD" w:rsidP="00053EFD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5140360E" w14:textId="14D92E6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 w:rsidRPr="009E6AA3">
              <w:rPr>
                <w:sz w:val="24"/>
                <w:szCs w:val="24"/>
              </w:rPr>
              <w:t>Source</w:t>
            </w:r>
            <w:r>
              <w:rPr>
                <w:sz w:val="24"/>
                <w:szCs w:val="24"/>
              </w:rPr>
              <w:t xml:space="preserve">: </w:t>
            </w:r>
            <w:r w:rsidRPr="009E6AA3">
              <w:rPr>
                <w:sz w:val="24"/>
                <w:szCs w:val="24"/>
              </w:rPr>
              <w:t>https://ratings.leapfroggroup.org/measure/hospital/2024/nursing-workforce</w:t>
            </w:r>
          </w:p>
        </w:tc>
      </w:tr>
      <w:tr w:rsidR="00053EFD" w14:paraId="6024405A" w14:textId="77777777" w:rsidTr="00125799">
        <w:tc>
          <w:tcPr>
            <w:tcW w:w="921" w:type="dxa"/>
          </w:tcPr>
          <w:p w14:paraId="03E19BDC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BCA8DF" w14:textId="7C3CDCFE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SP19 - Hand Hygiene Score:</w:t>
            </w:r>
          </w:p>
        </w:tc>
        <w:tc>
          <w:tcPr>
            <w:tcW w:w="2573" w:type="dxa"/>
          </w:tcPr>
          <w:p w14:paraId="06A76D99" w14:textId="0CC066BE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Leapfrog Hospital Survey</w:t>
            </w:r>
          </w:p>
        </w:tc>
      </w:tr>
      <w:tr w:rsidR="00053EFD" w14:paraId="0048AD09" w14:textId="77777777" w:rsidTr="00125799">
        <w:tc>
          <w:tcPr>
            <w:tcW w:w="921" w:type="dxa"/>
          </w:tcPr>
          <w:p w14:paraId="039E219C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5F6EA91" w14:textId="77777777" w:rsidR="00053EFD" w:rsidRDefault="00053EFD" w:rsidP="0005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Measures a hospital’s adherence to hand hygiene best practices by assessing:</w:t>
            </w:r>
          </w:p>
          <w:p w14:paraId="2C91A4E7" w14:textId="77777777" w:rsidR="00053EFD" w:rsidRPr="009A0BDE" w:rsidRDefault="00053EFD" w:rsidP="00053EFD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9A0BDE">
              <w:rPr>
                <w:sz w:val="24"/>
                <w:szCs w:val="24"/>
              </w:rPr>
              <w:t>Monitoring the use of proper hand hygiene techniques</w:t>
            </w:r>
            <w:r>
              <w:rPr>
                <w:sz w:val="24"/>
                <w:szCs w:val="24"/>
              </w:rPr>
              <w:t>.</w:t>
            </w:r>
          </w:p>
          <w:p w14:paraId="6A6FFECB" w14:textId="77777777" w:rsidR="00053EFD" w:rsidRPr="009A0BDE" w:rsidRDefault="00053EFD" w:rsidP="00053EFD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9A0BDE">
              <w:rPr>
                <w:sz w:val="24"/>
                <w:szCs w:val="24"/>
              </w:rPr>
              <w:t>The use of compliance data</w:t>
            </w:r>
            <w:r>
              <w:rPr>
                <w:sz w:val="24"/>
                <w:szCs w:val="24"/>
              </w:rPr>
              <w:t>.</w:t>
            </w:r>
          </w:p>
          <w:p w14:paraId="658E9985" w14:textId="77777777" w:rsidR="00053EFD" w:rsidRPr="009A0BDE" w:rsidRDefault="00053EFD" w:rsidP="00053EFD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9A0BDE">
              <w:rPr>
                <w:sz w:val="24"/>
                <w:szCs w:val="24"/>
              </w:rPr>
              <w:t>The training measures employed to ensure proper hand hygiene technique.</w:t>
            </w:r>
          </w:p>
          <w:p w14:paraId="2AA4731C" w14:textId="77777777" w:rsidR="00053EFD" w:rsidRPr="009A0BDE" w:rsidRDefault="00053EFD" w:rsidP="00053EFD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9A0BDE">
              <w:rPr>
                <w:sz w:val="24"/>
                <w:szCs w:val="24"/>
              </w:rPr>
              <w:t>Infrastructure, and the availability of hand hygiene stations</w:t>
            </w:r>
            <w:r>
              <w:rPr>
                <w:sz w:val="24"/>
                <w:szCs w:val="24"/>
              </w:rPr>
              <w:t>.</w:t>
            </w:r>
          </w:p>
          <w:p w14:paraId="01E0D351" w14:textId="77777777" w:rsidR="00053EFD" w:rsidRDefault="00053EFD" w:rsidP="00053EFD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9A0BDE">
              <w:rPr>
                <w:sz w:val="24"/>
                <w:szCs w:val="24"/>
              </w:rPr>
              <w:t xml:space="preserve">Leadership </w:t>
            </w:r>
            <w:r>
              <w:rPr>
                <w:sz w:val="24"/>
                <w:szCs w:val="24"/>
              </w:rPr>
              <w:t>buy-in</w:t>
            </w:r>
            <w:r w:rsidRPr="009A0BDE">
              <w:rPr>
                <w:sz w:val="24"/>
                <w:szCs w:val="24"/>
              </w:rPr>
              <w:t xml:space="preserve"> to proper hand hygiene</w:t>
            </w:r>
            <w:r>
              <w:rPr>
                <w:sz w:val="24"/>
                <w:szCs w:val="24"/>
              </w:rPr>
              <w:t>.</w:t>
            </w:r>
          </w:p>
          <w:p w14:paraId="29176B3F" w14:textId="77777777" w:rsidR="00053EFD" w:rsidRDefault="00053EFD" w:rsidP="00053EFD">
            <w:pPr>
              <w:pStyle w:val="ListParagraph"/>
              <w:rPr>
                <w:sz w:val="24"/>
                <w:szCs w:val="24"/>
              </w:rPr>
            </w:pPr>
          </w:p>
          <w:p w14:paraId="0F6A68F1" w14:textId="027A18CC" w:rsidR="00053EFD" w:rsidRPr="009E6AA3" w:rsidRDefault="00053EFD" w:rsidP="00053EFD">
            <w:pPr>
              <w:rPr>
                <w:sz w:val="24"/>
                <w:szCs w:val="24"/>
              </w:rPr>
            </w:pPr>
            <w:r w:rsidRPr="009E6AA3">
              <w:rPr>
                <w:sz w:val="24"/>
                <w:szCs w:val="24"/>
              </w:rPr>
              <w:t>Sourc</w:t>
            </w:r>
            <w:r>
              <w:rPr>
                <w:sz w:val="24"/>
                <w:szCs w:val="24"/>
              </w:rPr>
              <w:t xml:space="preserve">e: </w:t>
            </w:r>
            <w:r w:rsidRPr="009E6AA3">
              <w:rPr>
                <w:sz w:val="24"/>
                <w:szCs w:val="24"/>
              </w:rPr>
              <w:t>https://ratings.leapfroggroup.org/measure/hospital/2024/handwashing</w:t>
            </w:r>
          </w:p>
        </w:tc>
      </w:tr>
      <w:tr w:rsidR="00053EFD" w14:paraId="722ED774" w14:textId="77777777" w:rsidTr="00125799">
        <w:tc>
          <w:tcPr>
            <w:tcW w:w="921" w:type="dxa"/>
          </w:tcPr>
          <w:p w14:paraId="053ACC88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826542" w14:textId="60765942" w:rsidR="00053EFD" w:rsidRDefault="00E778AF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Leapfrog Hospital Score</w:t>
            </w:r>
          </w:p>
        </w:tc>
        <w:tc>
          <w:tcPr>
            <w:tcW w:w="2573" w:type="dxa"/>
          </w:tcPr>
          <w:p w14:paraId="4973952E" w14:textId="36F68328" w:rsidR="00053EFD" w:rsidRDefault="00E778AF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Leapfrog </w:t>
            </w:r>
            <w:r w:rsidR="00BF1B49">
              <w:rPr>
                <w:b/>
                <w:bCs/>
                <w:sz w:val="24"/>
                <w:szCs w:val="24"/>
              </w:rPr>
              <w:t>Safety Grade</w:t>
            </w:r>
          </w:p>
        </w:tc>
      </w:tr>
      <w:tr w:rsidR="00053EFD" w14:paraId="3936DD0D" w14:textId="77777777" w:rsidTr="00125799">
        <w:tc>
          <w:tcPr>
            <w:tcW w:w="921" w:type="dxa"/>
          </w:tcPr>
          <w:p w14:paraId="167E24F3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55C83BE" w14:textId="06505FA2" w:rsidR="00053EFD" w:rsidRPr="009E6AA3" w:rsidRDefault="008D3671" w:rsidP="00053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Composite score of PSI rates, HAI and HAC rates, and safety practice progress.</w:t>
            </w:r>
          </w:p>
        </w:tc>
      </w:tr>
      <w:tr w:rsidR="00BF1B49" w14:paraId="5DDAF178" w14:textId="77777777" w:rsidTr="001D38D2">
        <w:tc>
          <w:tcPr>
            <w:tcW w:w="921" w:type="dxa"/>
          </w:tcPr>
          <w:p w14:paraId="6D9137E7" w14:textId="77777777" w:rsidR="00BF1B49" w:rsidRDefault="00BF1B49" w:rsidP="00BF1B4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21E23E" w14:textId="764DC7B9" w:rsidR="00BF1B49" w:rsidRDefault="00BF1B49" w:rsidP="00BF1B49">
            <w:pPr>
              <w:rPr>
                <w:b/>
                <w:bCs/>
                <w:sz w:val="24"/>
                <w:szCs w:val="24"/>
              </w:rPr>
            </w:pPr>
            <w:r w:rsidRPr="007004E5">
              <w:rPr>
                <w:b/>
                <w:bCs/>
                <w:sz w:val="24"/>
                <w:szCs w:val="24"/>
              </w:rPr>
              <w:t>Percentage of Inpatient Days that are Special Care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73" w:type="dxa"/>
          </w:tcPr>
          <w:p w14:paraId="62F14B19" w14:textId="20F3F56D" w:rsidR="00BF1B49" w:rsidRDefault="00BF1B49" w:rsidP="00BF1B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Cost Reports</w:t>
            </w:r>
          </w:p>
        </w:tc>
      </w:tr>
      <w:tr w:rsidR="00BF1B49" w14:paraId="16264997" w14:textId="77777777" w:rsidTr="001D38D2">
        <w:tc>
          <w:tcPr>
            <w:tcW w:w="921" w:type="dxa"/>
          </w:tcPr>
          <w:p w14:paraId="4E71C86F" w14:textId="77777777" w:rsidR="00BF1B49" w:rsidRDefault="00BF1B49" w:rsidP="00BF1B4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9D6B33" w14:textId="4A1B1BC2" w:rsidR="00BF1B49" w:rsidRDefault="00BF1B49" w:rsidP="00BF1B49">
            <w:pPr>
              <w:rPr>
                <w:b/>
                <w:bCs/>
                <w:sz w:val="24"/>
                <w:szCs w:val="24"/>
              </w:rPr>
            </w:pPr>
            <w:r w:rsidRPr="00627976">
              <w:rPr>
                <w:sz w:val="24"/>
                <w:szCs w:val="24"/>
                <w:lang w:val="en-US"/>
              </w:rPr>
              <w:t>Percentage of total inpatient days recorded as special care (Intensive Care, Burn Intensive Care, Coronary Care, Surgical Intensive Care)</w:t>
            </w:r>
          </w:p>
        </w:tc>
      </w:tr>
      <w:tr w:rsidR="00053EFD" w14:paraId="7FB63D1B" w14:textId="77777777" w:rsidTr="000B2ADD">
        <w:tc>
          <w:tcPr>
            <w:tcW w:w="10790" w:type="dxa"/>
            <w:gridSpan w:val="3"/>
            <w:shd w:val="clear" w:color="auto" w:fill="DAE9F7" w:themeFill="text2" w:themeFillTint="1A"/>
          </w:tcPr>
          <w:p w14:paraId="33B346F7" w14:textId="50AD1D81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Readmission Rates</w:t>
            </w:r>
          </w:p>
        </w:tc>
      </w:tr>
      <w:tr w:rsidR="00053EFD" w14:paraId="63A353B5" w14:textId="77777777" w:rsidTr="00B2011A">
        <w:tc>
          <w:tcPr>
            <w:tcW w:w="921" w:type="dxa"/>
          </w:tcPr>
          <w:p w14:paraId="052CBBF8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FEDA26" w14:textId="543BF049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Acute Myocardial Infarction 30-Day Readmission Rate:</w:t>
            </w:r>
          </w:p>
        </w:tc>
        <w:tc>
          <w:tcPr>
            <w:tcW w:w="2573" w:type="dxa"/>
          </w:tcPr>
          <w:p w14:paraId="0D03BE2C" w14:textId="21FA9B86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Readmission Rate Data</w:t>
            </w:r>
          </w:p>
        </w:tc>
      </w:tr>
      <w:tr w:rsidR="00053EFD" w14:paraId="5B90DE83" w14:textId="77777777" w:rsidTr="00B2011A">
        <w:tc>
          <w:tcPr>
            <w:tcW w:w="921" w:type="dxa"/>
          </w:tcPr>
          <w:p w14:paraId="7EEB26D2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F09871A" w14:textId="6BCFD5BB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30-day readmission rate per 1,000 heart attack patients.</w:t>
            </w:r>
          </w:p>
        </w:tc>
      </w:tr>
      <w:tr w:rsidR="00053EFD" w14:paraId="600E3EB1" w14:textId="77777777" w:rsidTr="00B2011A">
        <w:tc>
          <w:tcPr>
            <w:tcW w:w="921" w:type="dxa"/>
          </w:tcPr>
          <w:p w14:paraId="2C8766F9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F837AA" w14:textId="68B264FB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Coronary Artery Bypass Grafting 30-Day Readmission Rate:</w:t>
            </w:r>
          </w:p>
        </w:tc>
        <w:tc>
          <w:tcPr>
            <w:tcW w:w="2573" w:type="dxa"/>
          </w:tcPr>
          <w:p w14:paraId="697C4920" w14:textId="262D1B94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Readmission Rate Data</w:t>
            </w:r>
          </w:p>
        </w:tc>
      </w:tr>
      <w:tr w:rsidR="00053EFD" w14:paraId="216539EA" w14:textId="77777777" w:rsidTr="00B2011A">
        <w:tc>
          <w:tcPr>
            <w:tcW w:w="921" w:type="dxa"/>
          </w:tcPr>
          <w:p w14:paraId="71B2553D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FE007A" w14:textId="01E117A1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30-day readmission rate per 1,000 CABG patients.</w:t>
            </w:r>
          </w:p>
        </w:tc>
      </w:tr>
      <w:tr w:rsidR="00053EFD" w14:paraId="54918A4D" w14:textId="77777777" w:rsidTr="00B2011A">
        <w:tc>
          <w:tcPr>
            <w:tcW w:w="921" w:type="dxa"/>
          </w:tcPr>
          <w:p w14:paraId="154EE66F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213EAE" w14:textId="3B2B9A35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Chronic Obstructive Pulmonary Disease 30-Day Readmission Rate:</w:t>
            </w:r>
          </w:p>
        </w:tc>
        <w:tc>
          <w:tcPr>
            <w:tcW w:w="2573" w:type="dxa"/>
          </w:tcPr>
          <w:p w14:paraId="7B6E6124" w14:textId="2B87C393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Readmission Rate Data</w:t>
            </w:r>
          </w:p>
        </w:tc>
      </w:tr>
      <w:tr w:rsidR="00053EFD" w14:paraId="13A61AC1" w14:textId="77777777" w:rsidTr="00B2011A">
        <w:tc>
          <w:tcPr>
            <w:tcW w:w="921" w:type="dxa"/>
          </w:tcPr>
          <w:p w14:paraId="642F2146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AC99D59" w14:textId="0C5CF3B3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30-day readmission rate per 1,000 COPD patients.</w:t>
            </w:r>
          </w:p>
        </w:tc>
      </w:tr>
      <w:tr w:rsidR="00053EFD" w14:paraId="55F516B9" w14:textId="77777777" w:rsidTr="00136A82">
        <w:tc>
          <w:tcPr>
            <w:tcW w:w="921" w:type="dxa"/>
          </w:tcPr>
          <w:p w14:paraId="7D668666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538724" w14:textId="0F4B2988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Heart Failure </w:t>
            </w:r>
            <w:r w:rsidR="005703B1">
              <w:rPr>
                <w:b/>
                <w:bCs/>
                <w:sz w:val="24"/>
                <w:szCs w:val="24"/>
              </w:rPr>
              <w:t xml:space="preserve">30-Day </w:t>
            </w:r>
            <w:r>
              <w:rPr>
                <w:b/>
                <w:bCs/>
                <w:sz w:val="24"/>
                <w:szCs w:val="24"/>
              </w:rPr>
              <w:t>Readmission Rate:</w:t>
            </w:r>
          </w:p>
        </w:tc>
        <w:tc>
          <w:tcPr>
            <w:tcW w:w="2573" w:type="dxa"/>
          </w:tcPr>
          <w:p w14:paraId="64741FCE" w14:textId="1266AAD5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Readmission Rate Data</w:t>
            </w:r>
          </w:p>
        </w:tc>
      </w:tr>
      <w:tr w:rsidR="00053EFD" w14:paraId="6EC65963" w14:textId="77777777" w:rsidTr="00136A82">
        <w:tc>
          <w:tcPr>
            <w:tcW w:w="921" w:type="dxa"/>
          </w:tcPr>
          <w:p w14:paraId="460E02D4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B881625" w14:textId="011C5ADE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30-day readmission rate per 1,000 heart failure patients.</w:t>
            </w:r>
          </w:p>
        </w:tc>
      </w:tr>
      <w:tr w:rsidR="00053EFD" w14:paraId="10BCDF7F" w14:textId="77777777" w:rsidTr="00136A82">
        <w:tc>
          <w:tcPr>
            <w:tcW w:w="921" w:type="dxa"/>
          </w:tcPr>
          <w:p w14:paraId="71842D64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A1D0FB" w14:textId="5185074B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Hip or Knee Replacement </w:t>
            </w:r>
            <w:r w:rsidR="005703B1">
              <w:rPr>
                <w:b/>
                <w:bCs/>
                <w:sz w:val="24"/>
                <w:szCs w:val="24"/>
              </w:rPr>
              <w:t xml:space="preserve">30-Day </w:t>
            </w:r>
            <w:r>
              <w:rPr>
                <w:b/>
                <w:bCs/>
                <w:sz w:val="24"/>
                <w:szCs w:val="24"/>
              </w:rPr>
              <w:t>Readmission Rate:</w:t>
            </w:r>
          </w:p>
        </w:tc>
        <w:tc>
          <w:tcPr>
            <w:tcW w:w="2573" w:type="dxa"/>
          </w:tcPr>
          <w:p w14:paraId="20DB1B8E" w14:textId="07B46B59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Readmission Rate Data</w:t>
            </w:r>
          </w:p>
        </w:tc>
      </w:tr>
      <w:tr w:rsidR="00053EFD" w14:paraId="49A5850F" w14:textId="77777777" w:rsidTr="00136A82">
        <w:tc>
          <w:tcPr>
            <w:tcW w:w="921" w:type="dxa"/>
          </w:tcPr>
          <w:p w14:paraId="61CB9592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172514A" w14:textId="3A9AEF52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30-day readmission rate per 1,000 hip/knee surgery patients.</w:t>
            </w:r>
          </w:p>
        </w:tc>
      </w:tr>
      <w:tr w:rsidR="00053EFD" w14:paraId="7F4C7ECE" w14:textId="77777777" w:rsidTr="00136A82">
        <w:tc>
          <w:tcPr>
            <w:tcW w:w="921" w:type="dxa"/>
          </w:tcPr>
          <w:p w14:paraId="63ECE29C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9C12D1" w14:textId="7775AD9F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Pneumonia </w:t>
            </w:r>
            <w:r w:rsidR="005703B1">
              <w:rPr>
                <w:b/>
                <w:bCs/>
                <w:sz w:val="24"/>
                <w:szCs w:val="24"/>
              </w:rPr>
              <w:t xml:space="preserve">30-Day </w:t>
            </w:r>
            <w:r>
              <w:rPr>
                <w:b/>
                <w:bCs/>
                <w:sz w:val="24"/>
                <w:szCs w:val="24"/>
              </w:rPr>
              <w:t>Readmission Rate:</w:t>
            </w:r>
          </w:p>
        </w:tc>
        <w:tc>
          <w:tcPr>
            <w:tcW w:w="2573" w:type="dxa"/>
          </w:tcPr>
          <w:p w14:paraId="4C8AAE46" w14:textId="2F86F120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Readmission Rate Data</w:t>
            </w:r>
          </w:p>
        </w:tc>
      </w:tr>
      <w:tr w:rsidR="00053EFD" w14:paraId="67134924" w14:textId="77777777" w:rsidTr="008119CF">
        <w:tc>
          <w:tcPr>
            <w:tcW w:w="921" w:type="dxa"/>
            <w:tcBorders>
              <w:bottom w:val="single" w:sz="4" w:space="0" w:color="auto"/>
            </w:tcBorders>
          </w:tcPr>
          <w:p w14:paraId="4F77A358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CCE72B5" w14:textId="0943E501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30-day readmission rate per 1,000 pneumonia patients.</w:t>
            </w:r>
          </w:p>
        </w:tc>
      </w:tr>
      <w:tr w:rsidR="00053EFD" w14:paraId="7BC086BF" w14:textId="77777777" w:rsidTr="008119CF">
        <w:tc>
          <w:tcPr>
            <w:tcW w:w="921" w:type="dxa"/>
            <w:tcBorders>
              <w:right w:val="single" w:sz="4" w:space="0" w:color="auto"/>
            </w:tcBorders>
          </w:tcPr>
          <w:p w14:paraId="28CC7963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6A55FE" w14:textId="7892A3BF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Hospital Wide </w:t>
            </w:r>
            <w:r w:rsidR="005703B1">
              <w:rPr>
                <w:b/>
                <w:bCs/>
                <w:sz w:val="24"/>
                <w:szCs w:val="24"/>
              </w:rPr>
              <w:t xml:space="preserve">30-Day </w:t>
            </w:r>
            <w:r>
              <w:rPr>
                <w:b/>
                <w:bCs/>
                <w:sz w:val="24"/>
                <w:szCs w:val="24"/>
              </w:rPr>
              <w:t>Readmission</w:t>
            </w:r>
            <w:r>
              <w:rPr>
                <w:b/>
                <w:bCs/>
                <w:sz w:val="24"/>
                <w:szCs w:val="24"/>
              </w:rPr>
              <w:t xml:space="preserve"> Rate:</w:t>
            </w:r>
          </w:p>
        </w:tc>
        <w:tc>
          <w:tcPr>
            <w:tcW w:w="2573" w:type="dxa"/>
            <w:tcBorders>
              <w:left w:val="single" w:sz="4" w:space="0" w:color="auto"/>
              <w:bottom w:val="nil"/>
            </w:tcBorders>
          </w:tcPr>
          <w:p w14:paraId="6F71CC89" w14:textId="7EFD4178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CMS Readmission Rate Data</w:t>
            </w:r>
          </w:p>
        </w:tc>
      </w:tr>
      <w:tr w:rsidR="00053EFD" w14:paraId="517FD8A9" w14:textId="77777777" w:rsidTr="00AD18D5">
        <w:tc>
          <w:tcPr>
            <w:tcW w:w="921" w:type="dxa"/>
            <w:tcBorders>
              <w:right w:val="single" w:sz="4" w:space="0" w:color="auto"/>
            </w:tcBorders>
          </w:tcPr>
          <w:p w14:paraId="522EA5E0" w14:textId="77777777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FC2B" w14:textId="6E5D8E45" w:rsidR="00053EFD" w:rsidRDefault="00053EFD" w:rsidP="00053EF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30-day </w:t>
            </w:r>
            <w:r w:rsidR="000D70FA">
              <w:rPr>
                <w:sz w:val="24"/>
                <w:szCs w:val="24"/>
                <w:lang w:val="en-US"/>
              </w:rPr>
              <w:t>hospital-wide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readmission rate per 1,000 patients.</w:t>
            </w:r>
          </w:p>
        </w:tc>
      </w:tr>
    </w:tbl>
    <w:p w14:paraId="41963CD1" w14:textId="77777777" w:rsidR="005A4E11" w:rsidRPr="005A4E11" w:rsidRDefault="005A4E11" w:rsidP="005A4E11">
      <w:pPr>
        <w:rPr>
          <w:b/>
          <w:bCs/>
          <w:sz w:val="24"/>
          <w:szCs w:val="24"/>
        </w:rPr>
      </w:pPr>
    </w:p>
    <w:sectPr w:rsidR="005A4E11" w:rsidRPr="005A4E11" w:rsidSect="00A65A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E7B"/>
    <w:multiLevelType w:val="hybridMultilevel"/>
    <w:tmpl w:val="65FAA1DC"/>
    <w:lvl w:ilvl="0" w:tplc="1910BB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37A9E"/>
    <w:multiLevelType w:val="hybridMultilevel"/>
    <w:tmpl w:val="A2148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04E3"/>
    <w:multiLevelType w:val="hybridMultilevel"/>
    <w:tmpl w:val="43DCA8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05C4F"/>
    <w:multiLevelType w:val="hybridMultilevel"/>
    <w:tmpl w:val="41B412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F087D"/>
    <w:multiLevelType w:val="hybridMultilevel"/>
    <w:tmpl w:val="9C1C57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723"/>
    <w:multiLevelType w:val="hybridMultilevel"/>
    <w:tmpl w:val="BA60AE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B257C"/>
    <w:multiLevelType w:val="hybridMultilevel"/>
    <w:tmpl w:val="94DAFF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0533B"/>
    <w:multiLevelType w:val="hybridMultilevel"/>
    <w:tmpl w:val="D8C81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7DF7"/>
    <w:multiLevelType w:val="hybridMultilevel"/>
    <w:tmpl w:val="A4E680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51243"/>
    <w:multiLevelType w:val="hybridMultilevel"/>
    <w:tmpl w:val="6CF6A0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50099"/>
    <w:multiLevelType w:val="hybridMultilevel"/>
    <w:tmpl w:val="3968A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53B6D"/>
    <w:multiLevelType w:val="hybridMultilevel"/>
    <w:tmpl w:val="2CD8CE1E"/>
    <w:lvl w:ilvl="0" w:tplc="184EC0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05249"/>
    <w:multiLevelType w:val="hybridMultilevel"/>
    <w:tmpl w:val="BF8835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D0546"/>
    <w:multiLevelType w:val="hybridMultilevel"/>
    <w:tmpl w:val="F012A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618CC"/>
    <w:multiLevelType w:val="hybridMultilevel"/>
    <w:tmpl w:val="D3D048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757DB"/>
    <w:multiLevelType w:val="hybridMultilevel"/>
    <w:tmpl w:val="87845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363DB9"/>
    <w:multiLevelType w:val="hybridMultilevel"/>
    <w:tmpl w:val="F8CEA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270EE"/>
    <w:multiLevelType w:val="hybridMultilevel"/>
    <w:tmpl w:val="4D2AD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61C99"/>
    <w:multiLevelType w:val="hybridMultilevel"/>
    <w:tmpl w:val="7D6ABD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243D2"/>
    <w:multiLevelType w:val="hybridMultilevel"/>
    <w:tmpl w:val="36605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B21D7"/>
    <w:multiLevelType w:val="hybridMultilevel"/>
    <w:tmpl w:val="9326BB10"/>
    <w:lvl w:ilvl="0" w:tplc="DB32C0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B09C7"/>
    <w:multiLevelType w:val="hybridMultilevel"/>
    <w:tmpl w:val="7668E5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F4CAF"/>
    <w:multiLevelType w:val="hybridMultilevel"/>
    <w:tmpl w:val="3D2C178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735100"/>
    <w:multiLevelType w:val="hybridMultilevel"/>
    <w:tmpl w:val="8C8C6D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E3438"/>
    <w:multiLevelType w:val="hybridMultilevel"/>
    <w:tmpl w:val="232A6C8C"/>
    <w:lvl w:ilvl="0" w:tplc="A80C4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23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A4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01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CD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C20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AF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A9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83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2C46CAA"/>
    <w:multiLevelType w:val="hybridMultilevel"/>
    <w:tmpl w:val="EC52B960"/>
    <w:lvl w:ilvl="0" w:tplc="204C6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C8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81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0A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62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4ED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78C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45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4C5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9D46279"/>
    <w:multiLevelType w:val="hybridMultilevel"/>
    <w:tmpl w:val="2DEE744E"/>
    <w:lvl w:ilvl="0" w:tplc="661EE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41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62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0A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01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6A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02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08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23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594C98"/>
    <w:multiLevelType w:val="hybridMultilevel"/>
    <w:tmpl w:val="F4CCE8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C2BF0"/>
    <w:multiLevelType w:val="hybridMultilevel"/>
    <w:tmpl w:val="957061F4"/>
    <w:lvl w:ilvl="0" w:tplc="2396A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C25C3"/>
    <w:multiLevelType w:val="hybridMultilevel"/>
    <w:tmpl w:val="DD9C5F12"/>
    <w:lvl w:ilvl="0" w:tplc="D0DC1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01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CF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47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4D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6F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D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0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EA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1D14750"/>
    <w:multiLevelType w:val="hybridMultilevel"/>
    <w:tmpl w:val="0FC65D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BE2FDE"/>
    <w:multiLevelType w:val="hybridMultilevel"/>
    <w:tmpl w:val="04160E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496034">
    <w:abstractNumId w:val="26"/>
  </w:num>
  <w:num w:numId="2" w16cid:durableId="598487058">
    <w:abstractNumId w:val="24"/>
  </w:num>
  <w:num w:numId="3" w16cid:durableId="2100447085">
    <w:abstractNumId w:val="25"/>
  </w:num>
  <w:num w:numId="4" w16cid:durableId="1032412858">
    <w:abstractNumId w:val="29"/>
  </w:num>
  <w:num w:numId="5" w16cid:durableId="30423023">
    <w:abstractNumId w:val="31"/>
  </w:num>
  <w:num w:numId="6" w16cid:durableId="1293557179">
    <w:abstractNumId w:val="23"/>
  </w:num>
  <w:num w:numId="7" w16cid:durableId="1713580848">
    <w:abstractNumId w:val="2"/>
  </w:num>
  <w:num w:numId="8" w16cid:durableId="354580463">
    <w:abstractNumId w:val="12"/>
  </w:num>
  <w:num w:numId="9" w16cid:durableId="89351022">
    <w:abstractNumId w:val="20"/>
  </w:num>
  <w:num w:numId="10" w16cid:durableId="6829718">
    <w:abstractNumId w:val="30"/>
  </w:num>
  <w:num w:numId="11" w16cid:durableId="577331207">
    <w:abstractNumId w:val="28"/>
  </w:num>
  <w:num w:numId="12" w16cid:durableId="1766224135">
    <w:abstractNumId w:val="0"/>
  </w:num>
  <w:num w:numId="13" w16cid:durableId="2054578333">
    <w:abstractNumId w:val="15"/>
  </w:num>
  <w:num w:numId="14" w16cid:durableId="1854222988">
    <w:abstractNumId w:val="7"/>
  </w:num>
  <w:num w:numId="15" w16cid:durableId="1413233359">
    <w:abstractNumId w:val="21"/>
  </w:num>
  <w:num w:numId="16" w16cid:durableId="1883664438">
    <w:abstractNumId w:val="5"/>
  </w:num>
  <w:num w:numId="17" w16cid:durableId="348141311">
    <w:abstractNumId w:val="13"/>
  </w:num>
  <w:num w:numId="18" w16cid:durableId="2059354831">
    <w:abstractNumId w:val="22"/>
  </w:num>
  <w:num w:numId="19" w16cid:durableId="904411703">
    <w:abstractNumId w:val="11"/>
  </w:num>
  <w:num w:numId="20" w16cid:durableId="534315306">
    <w:abstractNumId w:val="14"/>
  </w:num>
  <w:num w:numId="21" w16cid:durableId="1645504201">
    <w:abstractNumId w:val="16"/>
  </w:num>
  <w:num w:numId="22" w16cid:durableId="2045249771">
    <w:abstractNumId w:val="4"/>
  </w:num>
  <w:num w:numId="23" w16cid:durableId="350912213">
    <w:abstractNumId w:val="1"/>
  </w:num>
  <w:num w:numId="24" w16cid:durableId="1877082629">
    <w:abstractNumId w:val="18"/>
  </w:num>
  <w:num w:numId="25" w16cid:durableId="2039381561">
    <w:abstractNumId w:val="17"/>
  </w:num>
  <w:num w:numId="26" w16cid:durableId="1602494823">
    <w:abstractNumId w:val="8"/>
  </w:num>
  <w:num w:numId="27" w16cid:durableId="150101028">
    <w:abstractNumId w:val="9"/>
  </w:num>
  <w:num w:numId="28" w16cid:durableId="680473003">
    <w:abstractNumId w:val="19"/>
  </w:num>
  <w:num w:numId="29" w16cid:durableId="633798692">
    <w:abstractNumId w:val="10"/>
  </w:num>
  <w:num w:numId="30" w16cid:durableId="1339425610">
    <w:abstractNumId w:val="6"/>
  </w:num>
  <w:num w:numId="31" w16cid:durableId="1680307677">
    <w:abstractNumId w:val="27"/>
  </w:num>
  <w:num w:numId="32" w16cid:durableId="336542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11"/>
    <w:rsid w:val="00021249"/>
    <w:rsid w:val="00053EFD"/>
    <w:rsid w:val="00062A53"/>
    <w:rsid w:val="000A632F"/>
    <w:rsid w:val="000B2ADD"/>
    <w:rsid w:val="000D70FA"/>
    <w:rsid w:val="001006A5"/>
    <w:rsid w:val="00101F1C"/>
    <w:rsid w:val="00112306"/>
    <w:rsid w:val="00152BFF"/>
    <w:rsid w:val="00161B21"/>
    <w:rsid w:val="00167860"/>
    <w:rsid w:val="00171F17"/>
    <w:rsid w:val="001A76E8"/>
    <w:rsid w:val="001E5A1D"/>
    <w:rsid w:val="001F2E10"/>
    <w:rsid w:val="002725D6"/>
    <w:rsid w:val="002A2CF7"/>
    <w:rsid w:val="002C6AA5"/>
    <w:rsid w:val="002F5BEF"/>
    <w:rsid w:val="002F735D"/>
    <w:rsid w:val="00344738"/>
    <w:rsid w:val="00371C1A"/>
    <w:rsid w:val="003A7881"/>
    <w:rsid w:val="003B61B5"/>
    <w:rsid w:val="003E0019"/>
    <w:rsid w:val="00412AC8"/>
    <w:rsid w:val="004130C7"/>
    <w:rsid w:val="00415063"/>
    <w:rsid w:val="004C1992"/>
    <w:rsid w:val="00515772"/>
    <w:rsid w:val="00526E87"/>
    <w:rsid w:val="00534E2B"/>
    <w:rsid w:val="005468EB"/>
    <w:rsid w:val="005703B1"/>
    <w:rsid w:val="005A4E11"/>
    <w:rsid w:val="006136EF"/>
    <w:rsid w:val="00621589"/>
    <w:rsid w:val="00627976"/>
    <w:rsid w:val="00661267"/>
    <w:rsid w:val="0068726B"/>
    <w:rsid w:val="007004E5"/>
    <w:rsid w:val="00700872"/>
    <w:rsid w:val="00712200"/>
    <w:rsid w:val="00726DA1"/>
    <w:rsid w:val="007304FD"/>
    <w:rsid w:val="00752F28"/>
    <w:rsid w:val="008119CF"/>
    <w:rsid w:val="008659DD"/>
    <w:rsid w:val="008D3671"/>
    <w:rsid w:val="008E30A8"/>
    <w:rsid w:val="00901AE5"/>
    <w:rsid w:val="00965C2B"/>
    <w:rsid w:val="009A0BDE"/>
    <w:rsid w:val="009A63F7"/>
    <w:rsid w:val="009B6057"/>
    <w:rsid w:val="009D3521"/>
    <w:rsid w:val="009E6AA3"/>
    <w:rsid w:val="009F54D5"/>
    <w:rsid w:val="00A01363"/>
    <w:rsid w:val="00A602EC"/>
    <w:rsid w:val="00A64FC6"/>
    <w:rsid w:val="00A65A4A"/>
    <w:rsid w:val="00A91649"/>
    <w:rsid w:val="00A961DE"/>
    <w:rsid w:val="00A969CF"/>
    <w:rsid w:val="00AB0140"/>
    <w:rsid w:val="00AB161F"/>
    <w:rsid w:val="00AC76DD"/>
    <w:rsid w:val="00AE1965"/>
    <w:rsid w:val="00AF2146"/>
    <w:rsid w:val="00AF4A1A"/>
    <w:rsid w:val="00B11F6F"/>
    <w:rsid w:val="00B318F5"/>
    <w:rsid w:val="00B47FA9"/>
    <w:rsid w:val="00BF1B49"/>
    <w:rsid w:val="00C001E5"/>
    <w:rsid w:val="00C46780"/>
    <w:rsid w:val="00CA48A9"/>
    <w:rsid w:val="00CB2E44"/>
    <w:rsid w:val="00D02588"/>
    <w:rsid w:val="00D20A1E"/>
    <w:rsid w:val="00D27BC4"/>
    <w:rsid w:val="00D35C52"/>
    <w:rsid w:val="00D46560"/>
    <w:rsid w:val="00DB3EEC"/>
    <w:rsid w:val="00DB5F41"/>
    <w:rsid w:val="00DC3FC5"/>
    <w:rsid w:val="00E16E22"/>
    <w:rsid w:val="00E6776E"/>
    <w:rsid w:val="00E778AF"/>
    <w:rsid w:val="00E8426B"/>
    <w:rsid w:val="00EA5764"/>
    <w:rsid w:val="00ED2A80"/>
    <w:rsid w:val="00F27330"/>
    <w:rsid w:val="00F61E6E"/>
    <w:rsid w:val="00F83DCE"/>
    <w:rsid w:val="00FA4264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20117"/>
  <w15:chartTrackingRefBased/>
  <w15:docId w15:val="{16E12C38-DE53-4B07-8D97-16ECB2E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E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table" w:styleId="TableGrid">
    <w:name w:val="Table Grid"/>
    <w:basedOn w:val="TableNormal"/>
    <w:uiPriority w:val="39"/>
    <w:rsid w:val="0017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7</Pages>
  <Words>2451</Words>
  <Characters>14319</Characters>
  <Application>Microsoft Office Word</Application>
  <DocSecurity>0</DocSecurity>
  <Lines>550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Storey</dc:creator>
  <cp:keywords/>
  <dc:description/>
  <cp:lastModifiedBy>Tim Storey</cp:lastModifiedBy>
  <cp:revision>63</cp:revision>
  <dcterms:created xsi:type="dcterms:W3CDTF">2024-05-29T16:12:00Z</dcterms:created>
  <dcterms:modified xsi:type="dcterms:W3CDTF">2024-05-30T20:48:00Z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30898d71-14b3-473e-8692-e528a5bcbc50</vt:lpwstr>
  </property>
</Properties>
</file>