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  <w:szCs w:val="28"/>
        </w:rPr>
        <w:t xml:space="preserve">Highlights</w:t>
      </w:r>
    </w:p>
    <w:p>
      <w:pPr>
        <w:pStyle w:val="ListBullet"/>
      </w:pPr>
      <w:r>
        <w:rPr/>
        <w:t xml:space="preserve">Baku's 201 bus routes: 74 very indirect or loops, 1.93 routes per link</w:t>
      </w:r>
    </w:p>
    <w:p>
      <w:pPr>
        <w:pStyle w:val="ListBullet"/>
      </w:pPr>
      <w:r>
        <w:rPr/>
        <w:t xml:space="preserve">271 detours add 939 km to a trip each way; 217 serve nobody who lacks another route</w:t>
      </w:r>
    </w:p>
    <w:p>
      <w:pPr>
        <w:pStyle w:val="ListBullet"/>
      </w:pPr>
      <w:r>
        <w:rPr/>
        <w:t xml:space="preserve">A gravity demand model built from open data ranks routes against counts at 0.58</w:t>
      </w:r>
    </w:p>
    <w:p>
      <w:pPr>
        <w:pStyle w:val="ListBullet"/>
      </w:pPr>
      <w:r>
        <w:rPr/>
        <w:t xml:space="preserve">A fleet-neutral redesign gives today's modelled travel times with 12% fewer buses</w:t>
      </w:r>
    </w:p>
    <w:p>
      <w:pPr>
        <w:pStyle w:val="ListBullet"/>
      </w:pPr>
      <w:r>
        <w:rPr/>
        <w:t xml:space="preserve">The gain holds on 10 trip samples and under 14 alternative assumptions</w:t>
      </w: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Times New Roman" w:hAnsi="Times New Roman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en-GB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240"/>
    </w:pPr>
    <w:rPr>
      <w:b/>
      <w:sz w:val="32"/>
      <w:szCs w:val="32"/>
    </w:rPr>
  </w:style>
  <w:style w:type="paragraph" w:styleId="Heading1">
    <w:name w:val="heading 1"/>
    <w:basedOn w:val="Normal"/>
    <w:qFormat/>
    <w:pPr>
      <w:spacing w:before="360" w:after="120"/>
      <w:keepNext/>
    </w:pPr>
    <w:rPr>
      <w:b/>
      <w:sz w:val="28"/>
      <w:szCs w:val="28"/>
    </w:rPr>
  </w:style>
  <w:style w:type="paragraph" w:styleId="Heading2">
    <w:name w:val="heading 2"/>
    <w:basedOn w:val="Normal"/>
    <w:qFormat/>
    <w:pPr>
      <w:spacing w:before="300" w:after="120"/>
      <w:keepNext/>
    </w:pPr>
    <w:rPr>
      <w:b/>
      <w:sz w:val="26"/>
      <w:szCs w:val="26"/>
    </w:rPr>
  </w:style>
  <w:style w:type="paragraph" w:styleId="Heading3">
    <w:name w:val="heading 3"/>
    <w:basedOn w:val="Normal"/>
    <w:qFormat/>
    <w:pPr>
      <w:spacing w:before="240" w:after="120"/>
      <w:keepNext/>
    </w:pPr>
    <w:rPr>
      <w:b/>
      <w:sz w:val="24"/>
      <w:szCs w:val="24"/>
    </w:rPr>
  </w:style>
  <w:style w:type="paragraph" w:styleId="Caption">
    <w:name w:val="caption"/>
    <w:basedOn w:val="Normal"/>
    <w:qFormat/>
    <w:pPr>
      <w:spacing w:before="0" w:after="120"/>
    </w:pPr>
    <w:rPr>
      <w:sz w:val="22"/>
      <w:szCs w:val="22"/>
    </w:rPr>
  </w:style>
  <w:style w:type="paragraph" w:styleId="ListBullet">
    <w:name w:val="List Bullet"/>
    <w:basedOn w:val="Normal"/>
    <w:qFormat/>
    <w:pPr>
      <w:numPr>
        <w:ilvl w:val="0"/>
        <w:numId w:val="1"/>
      </w:numPr>
      <w:spacing w:after="60"/>
    </w:pPr>
  </w:style>
  <w:style w:type="paragraph" w:styleId="Reference">
    <w:name w:val="Reference"/>
    <w:basedOn w:val="Normal"/>
    <w:qFormat/>
    <w:pPr>
      <w:ind w:left="567" w:hanging="567"/>
      <w:spacing w:after="120" w:line="276" w:lineRule="auto"/>
    </w:pPr>
    <w:rPr>
      <w:sz w:val="22"/>
      <w:szCs w:val="22"/>
    </w:rPr>
  </w:style>
  <w:style w:type="table" w:styleId="TableGrid">
    <w:name w:val="Table Grid"/>
    <w:tblPr>
      <w:tblBorders>
        <w:top w:val="single" w:sz="4" w:space="0" w:color="000000"/>
        <w:bottom w:val="single" w:sz="4" w:space="0" w:color="000000"/>
        <w:insideH w:val="single" w:sz="4" w:space="0" w:color="999999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