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İŞ QAYDALARI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1.1 · Avqust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AI Solutions - İş Qaydaları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Ümumi qaydalar tam keçərlidir. Aşağıdakılar AI layihələrinə xas əməli qaydalar, tool stack və prosedurlardır.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Tool stack (standart)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Məqsəd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Qeyd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Dil / mühit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 xml:space="preserve">Python 3.11+, </w:t>
            </w:r>
            <w:r>
              <w:rPr>
                <w:rFonts w:ascii="Consolas" w:hAnsi="Consolas"/>
                <w:color w:val="14181F"/>
                <w:sz w:val="19"/>
              </w:rPr>
              <w:t>venv</w:t>
            </w:r>
            <w:r>
              <w:rPr>
                <w:rFonts w:ascii="Segoe UI" w:hAnsi="Segoe UI"/>
                <w:color w:val="22262E"/>
                <w:sz w:val="19"/>
              </w:rPr>
              <w:t>/</w:t>
            </w:r>
            <w:r>
              <w:rPr>
                <w:rFonts w:ascii="Consolas" w:hAnsi="Consolas"/>
                <w:color w:val="14181F"/>
                <w:sz w:val="19"/>
              </w:rPr>
              <w:t>conda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Reproduksiya üçün versiyalar sabit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Model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PyTorch / TensorFlow, Hugging Face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Tapşırığa görə seçilir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Eksperiment izləmə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MLflow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Hər training run loglanır (parametr, metrik)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Data versiyalama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DVC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Data + model versiyası Git-ə bağlı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Konteyner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Docker</w:t>
            </w:r>
            <w:r>
              <w:rPr>
                <w:rFonts w:ascii="Segoe UI" w:hAnsi="Segoe UI"/>
                <w:color w:val="22262E"/>
                <w:sz w:val="19"/>
              </w:rPr>
              <w:t xml:space="preserve"> (+ CUDA image)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Mühit fərqini aradan qaldırır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Serving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FastAPI</w:t>
            </w:r>
            <w:r>
              <w:rPr>
                <w:rFonts w:ascii="Segoe UI" w:hAnsi="Segoe UI"/>
                <w:color w:val="22262E"/>
                <w:sz w:val="19"/>
              </w:rPr>
              <w:t xml:space="preserve"> (+ vLLM / Triton lazımdırsa)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Model API kimi verilir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Drift monitorinq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Evidently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Canlıda performans/drift izləmə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GPU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NVIDIA + CUDA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Draytver/CUDA versiyası sənədləşir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Müştəridən nə istəyirik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Data nümunəsi</w:t>
      </w:r>
      <w:r>
        <w:rPr>
          <w:rFonts w:ascii="Segoe UI" w:hAnsi="Segoe UI"/>
          <w:color w:val="22262E"/>
          <w:sz w:val="21"/>
        </w:rPr>
        <w:t xml:space="preserve"> - qiymətləndirmə üçün (anonimləşdirilmiş ola bilər).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Data sahibi ilə birbaşa əlaqə</w:t>
      </w:r>
      <w:r>
        <w:rPr>
          <w:rFonts w:ascii="Segoe UI" w:hAnsi="Segoe UI"/>
          <w:color w:val="22262E"/>
          <w:sz w:val="21"/>
        </w:rPr>
        <w:t xml:space="preserve"> - sxem/məna sualları üçün.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Domain ekspertinin vaxtı</w:t>
      </w:r>
      <w:r>
        <w:rPr>
          <w:rFonts w:ascii="Segoe UI" w:hAnsi="Segoe UI"/>
          <w:color w:val="22262E"/>
          <w:sz w:val="21"/>
        </w:rPr>
        <w:t xml:space="preserve"> - həftədə min. 1-2 saat.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İş mühiti:</w:t>
      </w:r>
      <w:r>
        <w:rPr>
          <w:rFonts w:ascii="Segoe UI" w:hAnsi="Segoe UI"/>
          <w:color w:val="22262E"/>
          <w:sz w:val="21"/>
        </w:rPr>
        <w:t xml:space="preserve"> on-prem işlənəcəksə GPU-lu VM (tipik: NVIDIA 24 GB+ VRAM, 8 vCPU, 32 GB RAM, 200 GB SSD); cloud-dursa ayrıca project + GPU instance kvotası. Smeta əvvəlcədən verilir.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Data və model qaydaları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Reproduksiya məcburidir:</w:t>
      </w:r>
      <w:r>
        <w:rPr>
          <w:rFonts w:ascii="Segoe UI" w:hAnsi="Segoe UI"/>
          <w:color w:val="22262E"/>
          <w:sz w:val="21"/>
        </w:rPr>
        <w:t xml:space="preserve"> hansı model, hansı data (DVC hash), hansı parametrlə (MLflow run) - hamısı qeyddə. "Bu nəticəni necə aldıq" sualının cavabı həmişə olmalıdır.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Data lineage</w:t>
      </w:r>
      <w:r>
        <w:rPr>
          <w:rFonts w:ascii="Segoe UI" w:hAnsi="Segoe UI"/>
          <w:color w:val="22262E"/>
          <w:sz w:val="21"/>
        </w:rPr>
        <w:t xml:space="preserve"> təhvil paketinə daxildir.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PII training datasından mümkün qədər çıxarılır / maskalanır.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Test dataseti training-dən ayrı; qəbul yalnız test datası nəticəsi ilə.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Üçüncü tərəf LLM (OpenAI / Anthropic / və s.) - data governance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Bu, ən çox unudulan risk. Qayda: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Standart: müştəri datası (xüsusən PII) 3-cü tərəf API-yə göndərilmir.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Göndəriləcəksə: (1) </w:t>
      </w:r>
      <w:r>
        <w:rPr>
          <w:rFonts w:ascii="Segoe UI" w:hAnsi="Segoe UI"/>
          <w:b/>
          <w:color w:val="14181F"/>
          <w:sz w:val="21"/>
        </w:rPr>
        <w:t>əvvəlcədən yazılı razılıq</w:t>
      </w:r>
      <w:r>
        <w:rPr>
          <w:rFonts w:ascii="Segoe UI" w:hAnsi="Segoe UI"/>
          <w:color w:val="22262E"/>
          <w:sz w:val="21"/>
        </w:rPr>
        <w:t xml:space="preserve">, (2) hansı data, hansı provayderə - sənədləşir, (3) mümkün olan yerdə PII göndərişdən əvvəl </w:t>
      </w:r>
      <w:r>
        <w:rPr>
          <w:rFonts w:ascii="Segoe UI" w:hAnsi="Segoe UI"/>
          <w:b/>
          <w:color w:val="14181F"/>
          <w:sz w:val="21"/>
        </w:rPr>
        <w:t>redaksiya/maskalama</w:t>
      </w:r>
      <w:r>
        <w:rPr>
          <w:rFonts w:ascii="Segoe UI" w:hAnsi="Segoe UI"/>
          <w:color w:val="22262E"/>
          <w:sz w:val="21"/>
        </w:rPr>
        <w:t>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Provayderin </w:t>
      </w:r>
      <w:r>
        <w:rPr>
          <w:rFonts w:ascii="Segoe UI" w:hAnsi="Segoe UI"/>
          <w:b/>
          <w:color w:val="14181F"/>
          <w:sz w:val="21"/>
        </w:rPr>
        <w:t>"zero-retention" / enterprise</w:t>
      </w:r>
      <w:r>
        <w:rPr>
          <w:rFonts w:ascii="Segoe UI" w:hAnsi="Segoe UI"/>
          <w:color w:val="22262E"/>
          <w:sz w:val="21"/>
        </w:rPr>
        <w:t xml:space="preserve"> rejimi seçilir (data training üçün saxlanmasın).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Prompt injection</w:t>
      </w:r>
      <w:r>
        <w:rPr>
          <w:rFonts w:ascii="Segoe UI" w:hAnsi="Segoe UI"/>
          <w:color w:val="22262E"/>
          <w:sz w:val="21"/>
        </w:rPr>
        <w:t xml:space="preserve"> müdafiəsi: istifadəçi girişindən gələn mətn sistem təlimatı kimi qəbul edilmir.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Prompt/cavab logları </w:t>
      </w:r>
      <w:r>
        <w:rPr>
          <w:rFonts w:ascii="Segoe UI" w:hAnsi="Segoe UI"/>
          <w:b/>
          <w:color w:val="14181F"/>
          <w:sz w:val="21"/>
        </w:rPr>
        <w:t>təhlükəsiz</w:t>
      </w:r>
      <w:r>
        <w:rPr>
          <w:rFonts w:ascii="Segoe UI" w:hAnsi="Segoe UI"/>
          <w:color w:val="22262E"/>
          <w:sz w:val="21"/>
        </w:rPr>
        <w:t xml:space="preserve"> saxlanılır (PII log-a düşməsin).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Təsdiqli provayder + icazəli data sinfi matrisi</w:t>
      </w:r>
      <w:r>
        <w:rPr>
          <w:rFonts w:ascii="Segoe UI" w:hAnsi="Segoe UI"/>
          <w:color w:val="22262E"/>
          <w:sz w:val="21"/>
        </w:rPr>
        <w:t xml:space="preserve"> hər layihədə yazılır.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Keyfiyyət və qəbul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Qəbul kriteriyası müqavilədə </w:t>
      </w:r>
      <w:r>
        <w:rPr>
          <w:rFonts w:ascii="Segoe UI" w:hAnsi="Segoe UI"/>
          <w:b/>
          <w:color w:val="14181F"/>
          <w:sz w:val="21"/>
        </w:rPr>
        <w:t>rəqəmlə</w:t>
      </w:r>
      <w:r>
        <w:rPr>
          <w:rFonts w:ascii="Segoe UI" w:hAnsi="Segoe UI"/>
          <w:color w:val="22262E"/>
          <w:sz w:val="21"/>
        </w:rPr>
        <w:t>: min. dəqiqlik / precision-recall / cavab müddəti.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Metrik POC-da ölçülür; hədəf realdırsa təsdiqlənir, deyilsə birlikdə yenidən baxılır - sonda sürpriz olmur.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Production qaydaları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Model canlıya çıxanda </w:t>
      </w:r>
      <w:r>
        <w:rPr>
          <w:rFonts w:ascii="Segoe UI" w:hAnsi="Segoe UI"/>
          <w:b/>
          <w:color w:val="14181F"/>
          <w:sz w:val="21"/>
        </w:rPr>
        <w:t>monitorinq:</w:t>
      </w:r>
      <w:r>
        <w:rPr>
          <w:rFonts w:ascii="Segoe UI" w:hAnsi="Segoe UI"/>
          <w:color w:val="22262E"/>
          <w:sz w:val="21"/>
        </w:rPr>
        <w:t xml:space="preserve"> performans, cavab müddəti, data drift (Evidently). Alert kimə gedir - runbook-da.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Yüksək riskli qərarlarda </w:t>
      </w:r>
      <w:r>
        <w:rPr>
          <w:rFonts w:ascii="Segoe UI" w:hAnsi="Segoe UI"/>
          <w:b/>
          <w:color w:val="14181F"/>
          <w:sz w:val="21"/>
        </w:rPr>
        <w:t>human-in-the-loop</w:t>
      </w:r>
      <w:r>
        <w:rPr>
          <w:rFonts w:ascii="Segoe UI" w:hAnsi="Segoe UI"/>
          <w:color w:val="22262E"/>
          <w:sz w:val="21"/>
        </w:rPr>
        <w:t xml:space="preserve"> dizaynda əvvəlcədən var.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Yeni model versiyası prod-a yalnız köhnə ilə </w:t>
      </w:r>
      <w:r>
        <w:rPr>
          <w:rFonts w:ascii="Segoe UI" w:hAnsi="Segoe UI"/>
          <w:b/>
          <w:color w:val="14181F"/>
          <w:sz w:val="21"/>
        </w:rPr>
        <w:t>müqayisə testindən</w:t>
      </w:r>
      <w:r>
        <w:rPr>
          <w:rFonts w:ascii="Segoe UI" w:hAnsi="Segoe UI"/>
          <w:color w:val="22262E"/>
          <w:sz w:val="21"/>
        </w:rPr>
        <w:t xml:space="preserve"> sonra; rollback həmişə mümkün.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GPU instansları boş qalanda söndürülür</w:t>
      </w:r>
      <w:r>
        <w:rPr>
          <w:rFonts w:ascii="Segoe UI" w:hAnsi="Segoe UI"/>
          <w:color w:val="22262E"/>
          <w:sz w:val="21"/>
        </w:rPr>
        <w:t xml:space="preserve"> - xərc yeyir (unudulan nüans).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Təhvildə əlavə olaraq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Model kartı:</w:t>
      </w:r>
      <w:r>
        <w:rPr>
          <w:rFonts w:ascii="Segoe UI" w:hAnsi="Segoe UI"/>
          <w:color w:val="22262E"/>
          <w:sz w:val="21"/>
        </w:rPr>
        <w:t xml:space="preserve"> nə edir, hansı data ilə öyrədilib, limitləri nədir.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Retraining təlimatı:</w:t>
      </w:r>
      <w:r>
        <w:rPr>
          <w:rFonts w:ascii="Segoe UI" w:hAnsi="Segoe UI"/>
          <w:color w:val="22262E"/>
          <w:sz w:val="21"/>
        </w:rPr>
        <w:t xml:space="preserve"> nə vaxt lazımdır, necə edilir.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Monitorinq dashboard-una giriş + alert qaydaları.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Təsdiqli LLM provayder + data sinfi matrisi.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