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Segoe UI" w:hAnsi="Segoe UI"/>
          <w:b/>
          <w:color w:val="0B7A67"/>
          <w:sz w:val="20"/>
        </w:rPr>
        <w:t>K E S T R I D G E   A I</w:t>
      </w:r>
    </w:p>
    <w:p>
      <w:pPr>
        <w:spacing w:after="20"/>
      </w:pPr>
      <w:r>
        <w:rPr>
          <w:rFonts w:ascii="Segoe UI" w:hAnsi="Segoe UI"/>
          <w:color w:val="8A919C"/>
          <w:sz w:val="16"/>
        </w:rPr>
        <w:t>INTERNAL DOCUMENT · DELIVERY RULES</w:t>
      </w:r>
    </w:p>
    <w:p>
      <w:pPr>
        <w:spacing w:after="120"/>
        <w:pBdr>
          <w:bottom w:val="single" w:sz="16" w:space="6" w:color="0B7A67"/>
        </w:pBdr>
      </w:pPr>
      <w:r>
        <w:rPr>
          <w:rFonts w:ascii="Segoe UI" w:hAnsi="Segoe UI"/>
          <w:color w:val="8A919C"/>
          <w:sz w:val="17"/>
        </w:rPr>
        <w:t>Version 1.1 · August 2026 · Kestridge AI Inc., Illinois, USA</w:t>
      </w:r>
    </w:p>
    <w:p>
      <w:pPr>
        <w:spacing w:before="200" w:after="120"/>
      </w:pPr>
      <w:r>
        <w:rPr>
          <w:rFonts w:ascii="Segoe UI" w:hAnsi="Segoe UI"/>
          <w:b/>
          <w:color w:val="14181F"/>
          <w:sz w:val="38"/>
        </w:rPr>
        <w:t>IT Security - Delivery Rules</w:t>
      </w:r>
    </w:p>
    <w:p>
      <w:pPr>
        <w:spacing w:after="80"/>
      </w:pPr>
      <w:r>
        <w:rPr>
          <w:rFonts w:ascii="Segoe UI" w:hAnsi="Segoe UI"/>
          <w:color w:val="22262E"/>
          <w:sz w:val="21"/>
        </w:rPr>
        <w:t xml:space="preserve">The General Rules fully apply. Rules are strictest in this area - </w:t>
      </w:r>
      <w:r>
        <w:rPr>
          <w:rFonts w:ascii="Segoe UI" w:hAnsi="Segoe UI"/>
          <w:b/>
          <w:color w:val="14181F"/>
          <w:sz w:val="21"/>
        </w:rPr>
        <w:t>no exceptions.</w:t>
      </w:r>
      <w:r>
        <w:rPr>
          <w:rFonts w:ascii="Segoe UI" w:hAnsi="Segoe UI"/>
          <w:color w:val="22262E"/>
          <w:sz w:val="21"/>
        </w:rPr>
        <w:t xml:space="preserve"> Below are the methodology, tool stack and procedures.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1. Methodology</w:t>
      </w:r>
    </w:p>
    <w:p>
      <w:pPr>
        <w:spacing w:after="80"/>
      </w:pPr>
      <w:r>
        <w:rPr>
          <w:rFonts w:ascii="Segoe UI" w:hAnsi="Segoe UI"/>
          <w:color w:val="22262E"/>
          <w:sz w:val="21"/>
        </w:rPr>
        <w:t>We work from recognized frameworks - not "however we see fit":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OWASP</w:t>
      </w:r>
      <w:r>
        <w:rPr>
          <w:rFonts w:ascii="Segoe UI" w:hAnsi="Segoe UI"/>
          <w:color w:val="22262E"/>
          <w:sz w:val="21"/>
        </w:rPr>
        <w:t xml:space="preserve"> (WSTG + Top 10) - web applications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PTES</w:t>
      </w:r>
      <w:r>
        <w:rPr>
          <w:rFonts w:ascii="Segoe UI" w:hAnsi="Segoe UI"/>
          <w:color w:val="22262E"/>
          <w:sz w:val="21"/>
        </w:rPr>
        <w:t xml:space="preserve"> - the penetration-testing process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NIST 800-115</w:t>
      </w:r>
      <w:r>
        <w:rPr>
          <w:rFonts w:ascii="Segoe UI" w:hAnsi="Segoe UI"/>
          <w:color w:val="22262E"/>
          <w:sz w:val="21"/>
        </w:rPr>
        <w:t xml:space="preserve"> - technical testing methodology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MITRE ATT&amp;CK</w:t>
      </w:r>
      <w:r>
        <w:rPr>
          <w:rFonts w:ascii="Segoe UI" w:hAnsi="Segoe UI"/>
          <w:color w:val="22262E"/>
          <w:sz w:val="21"/>
        </w:rPr>
        <w:t xml:space="preserve"> - attack-technique reference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2. Tool stack (standard)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DBE0"/>
          <w:left w:val="single" w:sz="6" w:space="0" w:color="D7DBE0"/>
          <w:bottom w:val="single" w:sz="6" w:space="0" w:color="D7DBE0"/>
          <w:right w:val="single" w:sz="6" w:space="0" w:color="D7DBE0"/>
          <w:insideH w:val="single" w:sz="6" w:space="0" w:color="D7DBE0"/>
          <w:insideV w:val="single" w:sz="6" w:space="0" w:color="D7DBE0"/>
        </w:tblBorders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hd w:val="clear" w:fill="0B7A67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Phase</w:t>
            </w:r>
          </w:p>
        </w:tc>
        <w:tc>
          <w:tcPr>
            <w:tcW w:type="dxa" w:w="4873"/>
          </w:tcPr>
          <w:p>
            <w:pPr>
              <w:shd w:val="clear" w:fill="0B7A67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Tool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Discovery / scanning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Segoe UI" w:hAnsi="Segoe UI"/>
                <w:b/>
                <w:color w:val="14181F"/>
                <w:sz w:val="19"/>
              </w:rPr>
              <w:t>Nmap</w:t>
            </w:r>
            <w:r>
              <w:rPr>
                <w:rFonts w:ascii="Segoe UI" w:hAnsi="Segoe UI"/>
                <w:color w:val="22262E"/>
                <w:sz w:val="19"/>
              </w:rPr>
              <w:t>, nuclei, ffuf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Web application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Segoe UI" w:hAnsi="Segoe UI"/>
                <w:b/>
                <w:color w:val="14181F"/>
                <w:sz w:val="19"/>
              </w:rPr>
              <w:t>Burp Suite Pro</w:t>
            </w:r>
            <w:r>
              <w:rPr>
                <w:rFonts w:ascii="Segoe UI" w:hAnsi="Segoe UI"/>
                <w:color w:val="22262E"/>
                <w:sz w:val="19"/>
              </w:rPr>
              <w:t>, sqlmap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Vulnerability scan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Segoe UI" w:hAnsi="Segoe UI"/>
                <w:b/>
                <w:color w:val="14181F"/>
                <w:sz w:val="19"/>
              </w:rPr>
              <w:t>Nessus</w:t>
            </w:r>
            <w:r>
              <w:rPr>
                <w:rFonts w:ascii="Segoe UI" w:hAnsi="Segoe UI"/>
                <w:color w:val="22262E"/>
                <w:sz w:val="19"/>
              </w:rPr>
              <w:t xml:space="preserve"> / </w:t>
            </w:r>
            <w:r>
              <w:rPr>
                <w:rFonts w:ascii="Segoe UI" w:hAnsi="Segoe UI"/>
                <w:b/>
                <w:color w:val="14181F"/>
                <w:sz w:val="19"/>
              </w:rPr>
              <w:t>OpenVAS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Exploitation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Segoe UI" w:hAnsi="Segoe UI"/>
                <w:b/>
                <w:color w:val="14181F"/>
                <w:sz w:val="19"/>
              </w:rPr>
              <w:t>Metasploit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Reporting / scoring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Segoe UI" w:hAnsi="Segoe UI"/>
                <w:b/>
                <w:color w:val="14181F"/>
                <w:sz w:val="19"/>
              </w:rPr>
              <w:t>CVSS 3.1/4.0</w:t>
            </w:r>
          </w:p>
        </w:tc>
      </w:tr>
    </w:tbl>
    <w:p/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3. Mandatory preconditions before starting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Written authorization (authorization letter):</w:t>
      </w:r>
      <w:r>
        <w:rPr>
          <w:rFonts w:ascii="Segoe UI" w:hAnsi="Segoe UI"/>
          <w:color w:val="22262E"/>
          <w:sz w:val="21"/>
        </w:rPr>
        <w:t xml:space="preserve"> from the client's management, signed. The in-scope systems (IPs, domains, applications) are attached. </w:t>
      </w:r>
      <w:r>
        <w:rPr>
          <w:rFonts w:ascii="Segoe UI" w:hAnsi="Segoe UI"/>
          <w:b/>
          <w:color w:val="14181F"/>
          <w:sz w:val="21"/>
        </w:rPr>
        <w:t>Without this document no testing starts - not even a port scan.</w:t>
      </w:r>
      <w:r>
        <w:rPr>
          <w:rFonts w:ascii="Segoe UI" w:hAnsi="Segoe UI"/>
          <w:color w:val="22262E"/>
          <w:sz w:val="21"/>
        </w:rPr>
        <w:t xml:space="preserve"> *(Testing without written authorization = potential CFAA crime in the US - never.)*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Rules of Engagement (RoE):</w:t>
      </w:r>
      <w:r>
        <w:rPr>
          <w:rFonts w:ascii="Segoe UI" w:hAnsi="Segoe UI"/>
          <w:color w:val="22262E"/>
          <w:sz w:val="21"/>
        </w:rPr>
        <w:t xml:space="preserve"> in/out-of-scope IPs, the test window, allowed techniques, </w:t>
      </w:r>
      <w:r>
        <w:rPr>
          <w:rFonts w:ascii="Segoe UI" w:hAnsi="Segoe UI"/>
          <w:b/>
          <w:color w:val="14181F"/>
          <w:sz w:val="21"/>
        </w:rPr>
        <w:t>prohibited actions</w:t>
      </w:r>
      <w:r>
        <w:rPr>
          <w:rFonts w:ascii="Segoe UI" w:hAnsi="Segoe UI"/>
          <w:color w:val="22262E"/>
          <w:sz w:val="21"/>
        </w:rPr>
        <w:t xml:space="preserve"> (e.g. DoS), an emergency-stop contact.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If systems are hosted by third parties (hosting, SaaS) - the client confirms in writing that the third party's testing rules are satisfied.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Emergency contact:</w:t>
      </w:r>
      <w:r>
        <w:rPr>
          <w:rFonts w:ascii="Segoe UI" w:hAnsi="Segoe UI"/>
          <w:color w:val="22262E"/>
          <w:sz w:val="21"/>
        </w:rPr>
        <w:t xml:space="preserve"> a 24/7 number on each side.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4. Testing rules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Tests run only in the </w:t>
      </w:r>
      <w:r>
        <w:rPr>
          <w:rFonts w:ascii="Segoe UI" w:hAnsi="Segoe UI"/>
          <w:b/>
          <w:color w:val="14181F"/>
          <w:sz w:val="21"/>
        </w:rPr>
        <w:t>agreed windows</w:t>
      </w:r>
      <w:r>
        <w:rPr>
          <w:rFonts w:ascii="Segoe UI" w:hAnsi="Segoe UI"/>
          <w:color w:val="22262E"/>
          <w:sz w:val="21"/>
        </w:rPr>
        <w:t xml:space="preserve"> (usually outside business hours). Nothing outside a window.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Nothing outside the scope is touched</w:t>
      </w:r>
      <w:r>
        <w:rPr>
          <w:rFonts w:ascii="Segoe UI" w:hAnsi="Segoe UI"/>
          <w:color w:val="22262E"/>
          <w:sz w:val="21"/>
        </w:rPr>
        <w:t xml:space="preserve"> - even if it looks interesting. Expansion only with new written authorization.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Tests that could cause an outage (DoS, brute force) run only with separate explicit consent.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A discovered vulnerability is used only </w:t>
      </w:r>
      <w:r>
        <w:rPr>
          <w:rFonts w:ascii="Segoe UI" w:hAnsi="Segoe UI"/>
          <w:b/>
          <w:color w:val="14181F"/>
          <w:sz w:val="21"/>
        </w:rPr>
        <w:t>minimally, to prove it</w:t>
      </w:r>
      <w:r>
        <w:rPr>
          <w:rFonts w:ascii="Segoe UI" w:hAnsi="Segoe UI"/>
          <w:color w:val="22262E"/>
          <w:sz w:val="21"/>
        </w:rPr>
        <w:t xml:space="preserve"> - no data exfiltration, no system changes, no backdoors.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5. Evidence handling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Screenshots, logs, data samples - stored </w:t>
      </w:r>
      <w:r>
        <w:rPr>
          <w:rFonts w:ascii="Segoe UI" w:hAnsi="Segoe UI"/>
          <w:b/>
          <w:color w:val="14181F"/>
          <w:sz w:val="21"/>
        </w:rPr>
        <w:t>encrypted</w:t>
      </w:r>
      <w:r>
        <w:rPr>
          <w:rFonts w:ascii="Segoe UI" w:hAnsi="Segoe UI"/>
          <w:color w:val="22262E"/>
          <w:sz w:val="21"/>
        </w:rPr>
        <w:t xml:space="preserve"> in the project environment.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Chain of custody: which evidence, when, by whom.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All evidence is deleted after the report (data destruction).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6. Reporting rules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Critical vulnerability → direct notice within 24 hours</w:t>
      </w:r>
      <w:r>
        <w:rPr>
          <w:rFonts w:ascii="Segoe UI" w:hAnsi="Segoe UI"/>
          <w:color w:val="22262E"/>
          <w:sz w:val="21"/>
        </w:rPr>
        <w:t xml:space="preserve"> (the report is not waited for).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Format: each finding - severity (</w:t>
      </w:r>
      <w:r>
        <w:rPr>
          <w:rFonts w:ascii="Segoe UI" w:hAnsi="Segoe UI"/>
          <w:b/>
          <w:color w:val="14181F"/>
          <w:sz w:val="21"/>
        </w:rPr>
        <w:t>CVSS</w:t>
      </w:r>
      <w:r>
        <w:rPr>
          <w:rFonts w:ascii="Segoe UI" w:hAnsi="Segoe UI"/>
          <w:color w:val="22262E"/>
          <w:sz w:val="21"/>
        </w:rPr>
        <w:t>), description, evidence, business risk, a concrete remediation step. A short executive summary on top.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Reports travel only over encrypted channels</w:t>
      </w:r>
      <w:r>
        <w:rPr>
          <w:rFonts w:ascii="Segoe UI" w:hAnsi="Segoe UI"/>
          <w:color w:val="22262E"/>
          <w:sz w:val="21"/>
        </w:rPr>
        <w:t xml:space="preserve"> - PGP / age / password-protected + a separate channel. Never as a plain email attachment (full of live vulnerabilities) - </w:t>
      </w:r>
      <w:r>
        <w:rPr>
          <w:rFonts w:ascii="Segoe UI" w:hAnsi="Segoe UI"/>
          <w:b/>
          <w:color w:val="14181F"/>
          <w:sz w:val="21"/>
        </w:rPr>
        <w:t>never</w:t>
      </w:r>
      <w:r>
        <w:rPr>
          <w:rFonts w:ascii="Segoe UI" w:hAnsi="Segoe UI"/>
          <w:color w:val="22262E"/>
          <w:sz w:val="21"/>
        </w:rPr>
        <w:t>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The report goes only to the people the client designates; on our side, only the project team sees it.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7. Remediation and retest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Remediation sits with the client or with us - per the agreement. We keep supporting questions throughout.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One retest is included at no extra charge</w:t>
      </w:r>
      <w:r>
        <w:rPr>
          <w:rFonts w:ascii="Segoe UI" w:hAnsi="Segoe UI"/>
          <w:color w:val="22262E"/>
          <w:sz w:val="21"/>
        </w:rPr>
        <w:t>; the final report shows closed / partial / open per finding.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8. Continuous monitoring service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The connected log sources + retention period are documented.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Escalation matrix:</w:t>
      </w:r>
      <w:r>
        <w:rPr>
          <w:rFonts w:ascii="Segoe UI" w:hAnsi="Segoe UI"/>
          <w:color w:val="22262E"/>
          <w:sz w:val="21"/>
        </w:rPr>
        <w:t xml:space="preserve"> which severity → whom, over which channel, within what time (including night hours) - signed off at kickoff.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The first 2 to 4 weeks are tuning (clearing false alarms); alert volume may be high during this time.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Monthly report: incidents, trends, recommendations.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9. Extra handover items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Final report + retest results.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Confirmation that all access is revoked (especially critical here) + evidence destruction.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Recommended next steps (annual retest, monitoring).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