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rFonts w:ascii="Segoe UI" w:hAnsi="Segoe UI"/>
          <w:b/>
          <w:color w:val="0B7A67"/>
          <w:sz w:val="20"/>
        </w:rPr>
        <w:t>A I V A N T A</w:t>
      </w:r>
    </w:p>
    <w:p>
      <w:pPr>
        <w:spacing w:after="20"/>
      </w:pPr>
      <w:r>
        <w:rPr>
          <w:rFonts w:ascii="Segoe UI" w:hAnsi="Segoe UI"/>
          <w:color w:val="8A919C"/>
          <w:sz w:val="16"/>
        </w:rPr>
        <w:t>DAXİLİ SƏNƏD · İŞ QAYDALARI</w:t>
      </w:r>
    </w:p>
    <w:p>
      <w:pPr>
        <w:spacing w:after="120"/>
        <w:pBdr>
          <w:bottom w:val="single" w:sz="16" w:space="6" w:color="0B7A67"/>
        </w:pBdr>
      </w:pPr>
      <w:r>
        <w:rPr>
          <w:rFonts w:ascii="Segoe UI" w:hAnsi="Segoe UI"/>
          <w:color w:val="8A919C"/>
          <w:sz w:val="17"/>
        </w:rPr>
        <w:t>Versiya 1.0 · İyul 2026 · AIVanta Inc., Illinois, USA</w:t>
      </w:r>
    </w:p>
    <w:p>
      <w:pPr>
        <w:spacing w:before="200" w:after="120"/>
      </w:pPr>
      <w:r>
        <w:rPr>
          <w:rFonts w:ascii="Segoe UI" w:hAnsi="Segoe UI"/>
          <w:b/>
          <w:color w:val="14181F"/>
          <w:sz w:val="38"/>
        </w:rPr>
        <w:t>AI Solutions — İş Qaydaları</w:t>
      </w:r>
    </w:p>
    <w:p>
      <w:r>
        <w:rPr>
          <w:rFonts w:ascii="Segoe UI" w:hAnsi="Segoe UI"/>
          <w:color w:val="22262E"/>
          <w:sz w:val="21"/>
        </w:rPr>
        <w:t>Ümumi qaydalar tam keçərlidir. Aşağıdakılar AI layihələrinə xas əməli qaydalar, tool stack və prosedurlardır.</w:t>
      </w:r>
    </w:p>
    <w:p>
      <w:pPr>
        <w:keepNext/>
        <w:spacing w:before="280" w:after="100"/>
        <w:pBdr>
          <w:bottom w:val="single" w:sz="6" w:space="3" w:color="D7DBE0"/>
        </w:pBdr>
      </w:pPr>
      <w:r>
        <w:rPr>
          <w:rFonts w:ascii="Segoe UI" w:hAnsi="Segoe UI"/>
          <w:b/>
          <w:color w:val="0B7A67"/>
          <w:sz w:val="26"/>
        </w:rPr>
        <w:t>1. Tool stack (standart)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7DBE0"/>
          <w:left w:val="single" w:sz="6" w:space="0" w:color="D7DBE0"/>
          <w:bottom w:val="single" w:sz="6" w:space="0" w:color="D7DBE0"/>
          <w:right w:val="single" w:sz="6" w:space="0" w:color="D7DBE0"/>
          <w:insideH w:val="single" w:sz="6" w:space="0" w:color="D7DBE0"/>
          <w:insideV w:val="single" w:sz="6" w:space="0" w:color="D7DBE0"/>
        </w:tblBorders>
      </w:tblPr>
      <w:tblGrid>
        <w:gridCol w:w="3249"/>
        <w:gridCol w:w="3249"/>
        <w:gridCol w:w="3249"/>
      </w:tblGrid>
      <w:tr>
        <w:tc>
          <w:tcPr>
            <w:tcW w:type="dxa" w:w="3249"/>
            <w:shd w:val="clear" w:fill="0B7A67"/>
          </w:tcPr>
          <w:p>
            <w:r>
              <w:rPr>
                <w:rFonts w:ascii="Segoe UI" w:hAnsi="Segoe UI"/>
                <w:b/>
                <w:color w:val="FFFFFF"/>
                <w:sz w:val="19"/>
              </w:rPr>
              <w:t>Məqsəd</w:t>
            </w:r>
          </w:p>
        </w:tc>
        <w:tc>
          <w:tcPr>
            <w:tcW w:type="dxa" w:w="3249"/>
            <w:shd w:val="clear" w:fill="0B7A67"/>
          </w:tcPr>
          <w:p>
            <w:r>
              <w:rPr>
                <w:rFonts w:ascii="Segoe UI" w:hAnsi="Segoe UI"/>
                <w:b/>
                <w:color w:val="FFFFFF"/>
                <w:sz w:val="19"/>
              </w:rPr>
              <w:t>Tool</w:t>
            </w:r>
          </w:p>
        </w:tc>
        <w:tc>
          <w:tcPr>
            <w:tcW w:type="dxa" w:w="3249"/>
            <w:shd w:val="clear" w:fill="0B7A67"/>
          </w:tcPr>
          <w:p>
            <w:r>
              <w:rPr>
                <w:rFonts w:ascii="Segoe UI" w:hAnsi="Segoe UI"/>
                <w:b/>
                <w:color w:val="FFFFFF"/>
                <w:sz w:val="19"/>
              </w:rPr>
              <w:t>Qeyd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Dil / mühit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 xml:space="preserve">Python 3.11+, </w:t>
            </w:r>
            <w:r>
              <w:rPr>
                <w:rFonts w:ascii="Consolas" w:hAnsi="Consolas"/>
                <w:color w:val="14181F"/>
                <w:sz w:val="19"/>
              </w:rPr>
              <w:t>venv</w:t>
            </w:r>
            <w:r>
              <w:rPr>
                <w:rFonts w:ascii="Segoe UI" w:hAnsi="Segoe UI"/>
                <w:color w:val="22262E"/>
                <w:sz w:val="19"/>
              </w:rPr>
              <w:t>/</w:t>
            </w:r>
            <w:r>
              <w:rPr>
                <w:rFonts w:ascii="Consolas" w:hAnsi="Consolas"/>
                <w:color w:val="14181F"/>
                <w:sz w:val="19"/>
              </w:rPr>
              <w:t>conda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Reproduksiya üçün versiyalar sabit</w:t>
            </w:r>
          </w:p>
        </w:tc>
      </w:tr>
      <w:tr>
        <w:tc>
          <w:tcPr>
            <w:tcW w:type="dxa" w:w="3249"/>
            <w:shd w:val="clear" w:fill="F4F6F8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Model</w:t>
            </w:r>
          </w:p>
        </w:tc>
        <w:tc>
          <w:tcPr>
            <w:tcW w:type="dxa" w:w="3249"/>
            <w:shd w:val="clear" w:fill="F4F6F8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PyTorch / TensorFlow, Hugging Face</w:t>
            </w:r>
          </w:p>
        </w:tc>
        <w:tc>
          <w:tcPr>
            <w:tcW w:type="dxa" w:w="3249"/>
            <w:shd w:val="clear" w:fill="F4F6F8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Tapşırığa görə seçilir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Eksperiment izləmə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Segoe UI" w:hAnsi="Segoe UI"/>
                <w:b/>
                <w:color w:val="14181F"/>
                <w:sz w:val="19"/>
              </w:rPr>
              <w:t>MLflow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Hər training run loglanır (parametr, metrik)</w:t>
            </w:r>
          </w:p>
        </w:tc>
      </w:tr>
      <w:tr>
        <w:tc>
          <w:tcPr>
            <w:tcW w:type="dxa" w:w="3249"/>
            <w:shd w:val="clear" w:fill="F4F6F8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Data versiyalama</w:t>
            </w:r>
          </w:p>
        </w:tc>
        <w:tc>
          <w:tcPr>
            <w:tcW w:type="dxa" w:w="3249"/>
            <w:shd w:val="clear" w:fill="F4F6F8"/>
          </w:tcPr>
          <w:p>
            <w:pPr>
              <w:spacing w:after="40"/>
            </w:pPr>
            <w:r>
              <w:rPr>
                <w:rFonts w:ascii="Segoe UI" w:hAnsi="Segoe UI"/>
                <w:b/>
                <w:color w:val="14181F"/>
                <w:sz w:val="19"/>
              </w:rPr>
              <w:t>DVC</w:t>
            </w:r>
          </w:p>
        </w:tc>
        <w:tc>
          <w:tcPr>
            <w:tcW w:type="dxa" w:w="3249"/>
            <w:shd w:val="clear" w:fill="F4F6F8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Data + model versiyası Git-ə bağlı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Konteyner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Segoe UI" w:hAnsi="Segoe UI"/>
                <w:b/>
                <w:color w:val="14181F"/>
                <w:sz w:val="19"/>
              </w:rPr>
              <w:t>Docker</w:t>
            </w:r>
            <w:r>
              <w:rPr>
                <w:rFonts w:ascii="Segoe UI" w:hAnsi="Segoe UI"/>
                <w:color w:val="22262E"/>
                <w:sz w:val="19"/>
              </w:rPr>
              <w:t xml:space="preserve"> (+ CUDA image)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Mühit fərqini aradan qaldırır</w:t>
            </w:r>
          </w:p>
        </w:tc>
      </w:tr>
      <w:tr>
        <w:tc>
          <w:tcPr>
            <w:tcW w:type="dxa" w:w="3249"/>
            <w:shd w:val="clear" w:fill="F4F6F8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Serving</w:t>
            </w:r>
          </w:p>
        </w:tc>
        <w:tc>
          <w:tcPr>
            <w:tcW w:type="dxa" w:w="3249"/>
            <w:shd w:val="clear" w:fill="F4F6F8"/>
          </w:tcPr>
          <w:p>
            <w:pPr>
              <w:spacing w:after="40"/>
            </w:pPr>
            <w:r>
              <w:rPr>
                <w:rFonts w:ascii="Segoe UI" w:hAnsi="Segoe UI"/>
                <w:b/>
                <w:color w:val="14181F"/>
                <w:sz w:val="19"/>
              </w:rPr>
              <w:t>FastAPI</w:t>
            </w:r>
            <w:r>
              <w:rPr>
                <w:rFonts w:ascii="Segoe UI" w:hAnsi="Segoe UI"/>
                <w:color w:val="22262E"/>
                <w:sz w:val="19"/>
              </w:rPr>
              <w:t xml:space="preserve"> (+ vLLM / Triton lazımdırsa)</w:t>
            </w:r>
          </w:p>
        </w:tc>
        <w:tc>
          <w:tcPr>
            <w:tcW w:type="dxa" w:w="3249"/>
            <w:shd w:val="clear" w:fill="F4F6F8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Model API kimi verilir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Drift monitorinq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Segoe UI" w:hAnsi="Segoe UI"/>
                <w:b/>
                <w:color w:val="14181F"/>
                <w:sz w:val="19"/>
              </w:rPr>
              <w:t>Evidently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Canlıda performans/drift izləmə</w:t>
            </w:r>
          </w:p>
        </w:tc>
      </w:tr>
      <w:tr>
        <w:tc>
          <w:tcPr>
            <w:tcW w:type="dxa" w:w="3249"/>
            <w:shd w:val="clear" w:fill="F4F6F8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GPU</w:t>
            </w:r>
          </w:p>
        </w:tc>
        <w:tc>
          <w:tcPr>
            <w:tcW w:type="dxa" w:w="3249"/>
            <w:shd w:val="clear" w:fill="F4F6F8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NVIDIA + CUDA</w:t>
            </w:r>
          </w:p>
        </w:tc>
        <w:tc>
          <w:tcPr>
            <w:tcW w:type="dxa" w:w="3249"/>
            <w:shd w:val="clear" w:fill="F4F6F8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Draytver/CUDA versiyası sənədləşir</w:t>
            </w:r>
          </w:p>
        </w:tc>
      </w:tr>
    </w:tbl>
    <w:p>
      <w:pPr>
        <w:spacing w:after="80"/>
      </w:pPr>
    </w:p>
    <w:p>
      <w:pPr>
        <w:keepNext/>
        <w:spacing w:before="280" w:after="100"/>
        <w:pBdr>
          <w:bottom w:val="single" w:sz="6" w:space="3" w:color="D7DBE0"/>
        </w:pBdr>
      </w:pPr>
      <w:r>
        <w:rPr>
          <w:rFonts w:ascii="Segoe UI" w:hAnsi="Segoe UI"/>
          <w:b/>
          <w:color w:val="0B7A67"/>
          <w:sz w:val="26"/>
        </w:rPr>
        <w:t>2. Müştəridən nə istəyirik</w:t>
      </w:r>
    </w:p>
    <w:p>
      <w:pPr>
        <w:pStyle w:val="ListBullet"/>
        <w:spacing w:after="80"/>
      </w:pPr>
      <w:r>
        <w:rPr>
          <w:rFonts w:ascii="Segoe UI" w:hAnsi="Segoe UI"/>
          <w:b/>
          <w:color w:val="14181F"/>
          <w:sz w:val="21"/>
        </w:rPr>
        <w:t>Data nümunəsi</w:t>
      </w:r>
      <w:r>
        <w:rPr>
          <w:rFonts w:ascii="Segoe UI" w:hAnsi="Segoe UI"/>
          <w:color w:val="22262E"/>
          <w:sz w:val="21"/>
        </w:rPr>
        <w:t xml:space="preserve"> — qiymətləndirmə üçün (anonimləşdirilmiş ola bilər).</w:t>
      </w:r>
    </w:p>
    <w:p>
      <w:pPr>
        <w:pStyle w:val="ListBullet"/>
        <w:spacing w:after="80"/>
      </w:pPr>
      <w:r>
        <w:rPr>
          <w:rFonts w:ascii="Segoe UI" w:hAnsi="Segoe UI"/>
          <w:b/>
          <w:color w:val="14181F"/>
          <w:sz w:val="21"/>
        </w:rPr>
        <w:t>Data sahibi ilə birbaşa əlaqə</w:t>
      </w:r>
      <w:r>
        <w:rPr>
          <w:rFonts w:ascii="Segoe UI" w:hAnsi="Segoe UI"/>
          <w:color w:val="22262E"/>
          <w:sz w:val="21"/>
        </w:rPr>
        <w:t xml:space="preserve"> — sxem/məna sualları üçün.</w:t>
      </w:r>
    </w:p>
    <w:p>
      <w:pPr>
        <w:pStyle w:val="ListBullet"/>
        <w:spacing w:after="80"/>
      </w:pPr>
      <w:r>
        <w:rPr>
          <w:rFonts w:ascii="Segoe UI" w:hAnsi="Segoe UI"/>
          <w:b/>
          <w:color w:val="14181F"/>
          <w:sz w:val="21"/>
        </w:rPr>
        <w:t>Domain ekspertinin vaxtı</w:t>
      </w:r>
      <w:r>
        <w:rPr>
          <w:rFonts w:ascii="Segoe UI" w:hAnsi="Segoe UI"/>
          <w:color w:val="22262E"/>
          <w:sz w:val="21"/>
        </w:rPr>
        <w:t xml:space="preserve"> — həftədə min. 1–2 saat.</w:t>
      </w:r>
    </w:p>
    <w:p>
      <w:pPr>
        <w:pStyle w:val="ListBullet"/>
        <w:spacing w:after="80"/>
      </w:pPr>
      <w:r>
        <w:rPr>
          <w:rFonts w:ascii="Segoe UI" w:hAnsi="Segoe UI"/>
          <w:b/>
          <w:color w:val="14181F"/>
          <w:sz w:val="21"/>
        </w:rPr>
        <w:t>İş mühiti:</w:t>
      </w:r>
      <w:r>
        <w:rPr>
          <w:rFonts w:ascii="Segoe UI" w:hAnsi="Segoe UI"/>
          <w:color w:val="22262E"/>
          <w:sz w:val="21"/>
        </w:rPr>
        <w:t xml:space="preserve"> on-prem işlənəcəksə GPU-lu VM (tipik: NVIDIA 24 GB+ VRAM, 8 vCPU, 32 GB RAM, 200 GB SSD); cloud-dursa ayrıca project + GPU instance kvotası. Smeta əvvəlcədən verilir.</w:t>
      </w:r>
    </w:p>
    <w:p>
      <w:pPr>
        <w:keepNext/>
        <w:spacing w:before="280" w:after="100"/>
        <w:pBdr>
          <w:bottom w:val="single" w:sz="6" w:space="3" w:color="D7DBE0"/>
        </w:pBdr>
      </w:pPr>
      <w:r>
        <w:rPr>
          <w:rFonts w:ascii="Segoe UI" w:hAnsi="Segoe UI"/>
          <w:b/>
          <w:color w:val="0B7A67"/>
          <w:sz w:val="26"/>
        </w:rPr>
        <w:t>3. Data və model qaydaları</w:t>
      </w:r>
    </w:p>
    <w:p>
      <w:pPr>
        <w:pStyle w:val="ListBullet"/>
        <w:spacing w:after="80"/>
      </w:pPr>
      <w:r>
        <w:rPr>
          <w:rFonts w:ascii="Segoe UI" w:hAnsi="Segoe UI"/>
          <w:b/>
          <w:color w:val="14181F"/>
          <w:sz w:val="21"/>
        </w:rPr>
        <w:t>Reproduksiya məcburidir:</w:t>
      </w:r>
      <w:r>
        <w:rPr>
          <w:rFonts w:ascii="Segoe UI" w:hAnsi="Segoe UI"/>
          <w:color w:val="22262E"/>
          <w:sz w:val="21"/>
        </w:rPr>
        <w:t xml:space="preserve"> hansı model, hansı data (DVC hash), hansı parametrlə (MLflow run) — hamısı qeyddə. "Bu nəticəni necə aldıq" sualının cavabı həmişə olmalıdır.</w:t>
      </w:r>
    </w:p>
    <w:p>
      <w:pPr>
        <w:pStyle w:val="ListBullet"/>
        <w:spacing w:after="80"/>
      </w:pPr>
      <w:r>
        <w:rPr>
          <w:rFonts w:ascii="Segoe UI" w:hAnsi="Segoe UI"/>
          <w:b/>
          <w:color w:val="14181F"/>
          <w:sz w:val="21"/>
        </w:rPr>
        <w:t>Data lineage</w:t>
      </w:r>
      <w:r>
        <w:rPr>
          <w:rFonts w:ascii="Segoe UI" w:hAnsi="Segoe UI"/>
          <w:color w:val="22262E"/>
          <w:sz w:val="21"/>
        </w:rPr>
        <w:t xml:space="preserve"> təhvil paketinə daxildir.</w:t>
      </w:r>
    </w:p>
    <w:p>
      <w:pPr>
        <w:pStyle w:val="ListBullet"/>
        <w:spacing w:after="80"/>
      </w:pPr>
      <w:r>
        <w:rPr>
          <w:rFonts w:ascii="Segoe UI" w:hAnsi="Segoe UI"/>
          <w:color w:val="22262E"/>
          <w:sz w:val="21"/>
        </w:rPr>
        <w:t>PII training datasından mümkün qədər çıxarılır / maskalanır.</w:t>
      </w:r>
    </w:p>
    <w:p>
      <w:pPr>
        <w:pStyle w:val="ListBullet"/>
        <w:spacing w:after="80"/>
      </w:pPr>
      <w:r>
        <w:rPr>
          <w:rFonts w:ascii="Segoe UI" w:hAnsi="Segoe UI"/>
          <w:color w:val="22262E"/>
          <w:sz w:val="21"/>
        </w:rPr>
        <w:t>Test dataseti training-dən ayrı; qəbul yalnız test datası nəticəsi ilə.</w:t>
      </w:r>
    </w:p>
    <w:p>
      <w:pPr>
        <w:keepNext/>
        <w:spacing w:before="280" w:after="100"/>
        <w:pBdr>
          <w:bottom w:val="single" w:sz="6" w:space="3" w:color="D7DBE0"/>
        </w:pBdr>
      </w:pPr>
      <w:r>
        <w:rPr>
          <w:rFonts w:ascii="Segoe UI" w:hAnsi="Segoe UI"/>
          <w:b/>
          <w:color w:val="0B7A67"/>
          <w:sz w:val="26"/>
        </w:rPr>
        <w:t>4. Üçüncü tərəf LLM (OpenAI / Anthropic / və s.) — data governance</w:t>
      </w:r>
    </w:p>
    <w:p>
      <w:r>
        <w:rPr>
          <w:rFonts w:ascii="Segoe UI" w:hAnsi="Segoe UI"/>
          <w:color w:val="22262E"/>
          <w:sz w:val="21"/>
        </w:rPr>
        <w:t>Bu, ən çox unudulan risk. Qayda:</w:t>
      </w:r>
    </w:p>
    <w:p>
      <w:pPr>
        <w:pStyle w:val="ListBullet"/>
        <w:spacing w:after="80"/>
      </w:pPr>
      <w:r>
        <w:rPr>
          <w:rFonts w:ascii="Segoe UI" w:hAnsi="Segoe UI"/>
          <w:b/>
          <w:color w:val="14181F"/>
          <w:sz w:val="21"/>
        </w:rPr>
        <w:t>Standart: müştəri datası (xüsusən PII) 3-cü tərəf API-yə göndərilmir.</w:t>
      </w:r>
    </w:p>
    <w:p>
      <w:pPr>
        <w:pStyle w:val="ListBullet"/>
        <w:spacing w:after="80"/>
      </w:pPr>
      <w:r>
        <w:rPr>
          <w:rFonts w:ascii="Segoe UI" w:hAnsi="Segoe UI"/>
          <w:color w:val="22262E"/>
          <w:sz w:val="21"/>
        </w:rPr>
        <w:t xml:space="preserve">Göndəriləcəksə: (1) </w:t>
      </w:r>
      <w:r>
        <w:rPr>
          <w:rFonts w:ascii="Segoe UI" w:hAnsi="Segoe UI"/>
          <w:b/>
          <w:color w:val="14181F"/>
          <w:sz w:val="21"/>
        </w:rPr>
        <w:t>əvvəlcədən yazılı razılıq</w:t>
      </w:r>
      <w:r>
        <w:rPr>
          <w:rFonts w:ascii="Segoe UI" w:hAnsi="Segoe UI"/>
          <w:color w:val="22262E"/>
          <w:sz w:val="21"/>
        </w:rPr>
        <w:t xml:space="preserve">, (2) hansı data, hansı provayderə — sənədləşir, (3) mümkün olan yerdə PII göndərişdən əvvəl </w:t>
      </w:r>
      <w:r>
        <w:rPr>
          <w:rFonts w:ascii="Segoe UI" w:hAnsi="Segoe UI"/>
          <w:b/>
          <w:color w:val="14181F"/>
          <w:sz w:val="21"/>
        </w:rPr>
        <w:t>redaksiya/maskalama</w:t>
      </w:r>
      <w:r>
        <w:rPr>
          <w:rFonts w:ascii="Segoe UI" w:hAnsi="Segoe UI"/>
          <w:color w:val="22262E"/>
          <w:sz w:val="21"/>
        </w:rPr>
        <w:t>.</w:t>
      </w:r>
    </w:p>
    <w:p>
      <w:pPr>
        <w:pStyle w:val="ListBullet"/>
        <w:spacing w:after="80"/>
      </w:pPr>
      <w:r>
        <w:rPr>
          <w:rFonts w:ascii="Segoe UI" w:hAnsi="Segoe UI"/>
          <w:color w:val="22262E"/>
          <w:sz w:val="21"/>
        </w:rPr>
        <w:t xml:space="preserve">Provayderin </w:t>
      </w:r>
      <w:r>
        <w:rPr>
          <w:rFonts w:ascii="Segoe UI" w:hAnsi="Segoe UI"/>
          <w:b/>
          <w:color w:val="14181F"/>
          <w:sz w:val="21"/>
        </w:rPr>
        <w:t>"zero-retention" / enterprise</w:t>
      </w:r>
      <w:r>
        <w:rPr>
          <w:rFonts w:ascii="Segoe UI" w:hAnsi="Segoe UI"/>
          <w:color w:val="22262E"/>
          <w:sz w:val="21"/>
        </w:rPr>
        <w:t xml:space="preserve"> rejimi seçilir (data training üçün saxlanmasın).</w:t>
      </w:r>
    </w:p>
    <w:p>
      <w:pPr>
        <w:pStyle w:val="ListBullet"/>
        <w:spacing w:after="80"/>
      </w:pPr>
      <w:r>
        <w:rPr>
          <w:rFonts w:ascii="Segoe UI" w:hAnsi="Segoe UI"/>
          <w:b/>
          <w:color w:val="14181F"/>
          <w:sz w:val="21"/>
        </w:rPr>
        <w:t>Prompt injection</w:t>
      </w:r>
      <w:r>
        <w:rPr>
          <w:rFonts w:ascii="Segoe UI" w:hAnsi="Segoe UI"/>
          <w:color w:val="22262E"/>
          <w:sz w:val="21"/>
        </w:rPr>
        <w:t xml:space="preserve"> müdafiəsi: istifadəçi girişindən gələn mətn sistem təlimatı kimi qəbul edilmir.</w:t>
      </w:r>
    </w:p>
    <w:p>
      <w:pPr>
        <w:pStyle w:val="ListBullet"/>
        <w:spacing w:after="80"/>
      </w:pPr>
      <w:r>
        <w:rPr>
          <w:rFonts w:ascii="Segoe UI" w:hAnsi="Segoe UI"/>
          <w:color w:val="22262E"/>
          <w:sz w:val="21"/>
        </w:rPr>
        <w:t xml:space="preserve">Prompt/cavab logları </w:t>
      </w:r>
      <w:r>
        <w:rPr>
          <w:rFonts w:ascii="Segoe UI" w:hAnsi="Segoe UI"/>
          <w:b/>
          <w:color w:val="14181F"/>
          <w:sz w:val="21"/>
        </w:rPr>
        <w:t>təhlükəsiz</w:t>
      </w:r>
      <w:r>
        <w:rPr>
          <w:rFonts w:ascii="Segoe UI" w:hAnsi="Segoe UI"/>
          <w:color w:val="22262E"/>
          <w:sz w:val="21"/>
        </w:rPr>
        <w:t xml:space="preserve"> saxlanılır (PII log-a düşməsin).</w:t>
      </w:r>
    </w:p>
    <w:p>
      <w:pPr>
        <w:pStyle w:val="ListBullet"/>
        <w:spacing w:after="80"/>
      </w:pPr>
      <w:r>
        <w:rPr>
          <w:rFonts w:ascii="Segoe UI" w:hAnsi="Segoe UI"/>
          <w:b/>
          <w:color w:val="14181F"/>
          <w:sz w:val="21"/>
        </w:rPr>
        <w:t>Təsdiqli provayder + icazəli data sinfi matrisi</w:t>
      </w:r>
      <w:r>
        <w:rPr>
          <w:rFonts w:ascii="Segoe UI" w:hAnsi="Segoe UI"/>
          <w:color w:val="22262E"/>
          <w:sz w:val="21"/>
        </w:rPr>
        <w:t xml:space="preserve"> hər layihədə yazılır.</w:t>
      </w:r>
    </w:p>
    <w:p>
      <w:pPr>
        <w:keepNext/>
        <w:spacing w:before="280" w:after="100"/>
        <w:pBdr>
          <w:bottom w:val="single" w:sz="6" w:space="3" w:color="D7DBE0"/>
        </w:pBdr>
      </w:pPr>
      <w:r>
        <w:rPr>
          <w:rFonts w:ascii="Segoe UI" w:hAnsi="Segoe UI"/>
          <w:b/>
          <w:color w:val="0B7A67"/>
          <w:sz w:val="26"/>
        </w:rPr>
        <w:t>5. Keyfiyyət və qəbul</w:t>
      </w:r>
    </w:p>
    <w:p>
      <w:pPr>
        <w:pStyle w:val="ListBullet"/>
        <w:spacing w:after="80"/>
      </w:pPr>
      <w:r>
        <w:rPr>
          <w:rFonts w:ascii="Segoe UI" w:hAnsi="Segoe UI"/>
          <w:color w:val="22262E"/>
          <w:sz w:val="21"/>
        </w:rPr>
        <w:t xml:space="preserve">Qəbul kriteriyası müqavilədə </w:t>
      </w:r>
      <w:r>
        <w:rPr>
          <w:rFonts w:ascii="Segoe UI" w:hAnsi="Segoe UI"/>
          <w:b/>
          <w:color w:val="14181F"/>
          <w:sz w:val="21"/>
        </w:rPr>
        <w:t>rəqəmlə</w:t>
      </w:r>
      <w:r>
        <w:rPr>
          <w:rFonts w:ascii="Segoe UI" w:hAnsi="Segoe UI"/>
          <w:color w:val="22262E"/>
          <w:sz w:val="21"/>
        </w:rPr>
        <w:t>: min. dəqiqlik / precision-recall / cavab müddəti.</w:t>
      </w:r>
    </w:p>
    <w:p>
      <w:pPr>
        <w:pStyle w:val="ListBullet"/>
        <w:spacing w:after="80"/>
      </w:pPr>
      <w:r>
        <w:rPr>
          <w:rFonts w:ascii="Segoe UI" w:hAnsi="Segoe UI"/>
          <w:color w:val="22262E"/>
          <w:sz w:val="21"/>
        </w:rPr>
        <w:t>Metrik POC-da ölçülür; hədəf realdırsa təsdiqlənir, deyilsə birlikdə yenidən baxılır — sonda sürpriz olmur.</w:t>
      </w:r>
    </w:p>
    <w:p>
      <w:pPr>
        <w:keepNext/>
        <w:spacing w:before="280" w:after="100"/>
        <w:pBdr>
          <w:bottom w:val="single" w:sz="6" w:space="3" w:color="D7DBE0"/>
        </w:pBdr>
      </w:pPr>
      <w:r>
        <w:rPr>
          <w:rFonts w:ascii="Segoe UI" w:hAnsi="Segoe UI"/>
          <w:b/>
          <w:color w:val="0B7A67"/>
          <w:sz w:val="26"/>
        </w:rPr>
        <w:t>6. Production qaydaları</w:t>
      </w:r>
    </w:p>
    <w:p>
      <w:pPr>
        <w:pStyle w:val="ListBullet"/>
        <w:spacing w:after="80"/>
      </w:pPr>
      <w:r>
        <w:rPr>
          <w:rFonts w:ascii="Segoe UI" w:hAnsi="Segoe UI"/>
          <w:color w:val="22262E"/>
          <w:sz w:val="21"/>
        </w:rPr>
        <w:t xml:space="preserve">Model canlıya çıxanda </w:t>
      </w:r>
      <w:r>
        <w:rPr>
          <w:rFonts w:ascii="Segoe UI" w:hAnsi="Segoe UI"/>
          <w:b/>
          <w:color w:val="14181F"/>
          <w:sz w:val="21"/>
        </w:rPr>
        <w:t>monitorinq:</w:t>
      </w:r>
      <w:r>
        <w:rPr>
          <w:rFonts w:ascii="Segoe UI" w:hAnsi="Segoe UI"/>
          <w:color w:val="22262E"/>
          <w:sz w:val="21"/>
        </w:rPr>
        <w:t xml:space="preserve"> performans, cavab müddəti, data drift (Evidently). Alert kimə gedir — runbook-da.</w:t>
      </w:r>
    </w:p>
    <w:p>
      <w:pPr>
        <w:pStyle w:val="ListBullet"/>
        <w:spacing w:after="80"/>
      </w:pPr>
      <w:r>
        <w:rPr>
          <w:rFonts w:ascii="Segoe UI" w:hAnsi="Segoe UI"/>
          <w:color w:val="22262E"/>
          <w:sz w:val="21"/>
        </w:rPr>
        <w:t xml:space="preserve">Yüksək riskli qərarlarda </w:t>
      </w:r>
      <w:r>
        <w:rPr>
          <w:rFonts w:ascii="Segoe UI" w:hAnsi="Segoe UI"/>
          <w:b/>
          <w:color w:val="14181F"/>
          <w:sz w:val="21"/>
        </w:rPr>
        <w:t>human-in-the-loop</w:t>
      </w:r>
      <w:r>
        <w:rPr>
          <w:rFonts w:ascii="Segoe UI" w:hAnsi="Segoe UI"/>
          <w:color w:val="22262E"/>
          <w:sz w:val="21"/>
        </w:rPr>
        <w:t xml:space="preserve"> dizaynda əvvəlcədən var.</w:t>
      </w:r>
    </w:p>
    <w:p>
      <w:pPr>
        <w:pStyle w:val="ListBullet"/>
        <w:spacing w:after="80"/>
      </w:pPr>
      <w:r>
        <w:rPr>
          <w:rFonts w:ascii="Segoe UI" w:hAnsi="Segoe UI"/>
          <w:color w:val="22262E"/>
          <w:sz w:val="21"/>
        </w:rPr>
        <w:t xml:space="preserve">Yeni model versiyası prod-a yalnız köhnə ilə </w:t>
      </w:r>
      <w:r>
        <w:rPr>
          <w:rFonts w:ascii="Segoe UI" w:hAnsi="Segoe UI"/>
          <w:b/>
          <w:color w:val="14181F"/>
          <w:sz w:val="21"/>
        </w:rPr>
        <w:t>müqayisə testindən</w:t>
      </w:r>
      <w:r>
        <w:rPr>
          <w:rFonts w:ascii="Segoe UI" w:hAnsi="Segoe UI"/>
          <w:color w:val="22262E"/>
          <w:sz w:val="21"/>
        </w:rPr>
        <w:t xml:space="preserve"> sonra; rollback həmişə mümkün.</w:t>
      </w:r>
    </w:p>
    <w:p>
      <w:pPr>
        <w:pStyle w:val="ListBullet"/>
        <w:spacing w:after="80"/>
      </w:pPr>
      <w:r>
        <w:rPr>
          <w:rFonts w:ascii="Segoe UI" w:hAnsi="Segoe UI"/>
          <w:b/>
          <w:color w:val="14181F"/>
          <w:sz w:val="21"/>
        </w:rPr>
        <w:t>GPU instansları boş qalanda söndürülür</w:t>
      </w:r>
      <w:r>
        <w:rPr>
          <w:rFonts w:ascii="Segoe UI" w:hAnsi="Segoe UI"/>
          <w:color w:val="22262E"/>
          <w:sz w:val="21"/>
        </w:rPr>
        <w:t xml:space="preserve"> — xərc yeyir (unudulan nüans).</w:t>
      </w:r>
    </w:p>
    <w:p>
      <w:pPr>
        <w:keepNext/>
        <w:spacing w:before="280" w:after="100"/>
        <w:pBdr>
          <w:bottom w:val="single" w:sz="6" w:space="3" w:color="D7DBE0"/>
        </w:pBdr>
      </w:pPr>
      <w:r>
        <w:rPr>
          <w:rFonts w:ascii="Segoe UI" w:hAnsi="Segoe UI"/>
          <w:b/>
          <w:color w:val="0B7A67"/>
          <w:sz w:val="26"/>
        </w:rPr>
        <w:t>7. Təhvildə əlavə olaraq</w:t>
      </w:r>
    </w:p>
    <w:p>
      <w:pPr>
        <w:pStyle w:val="ListBullet"/>
        <w:spacing w:after="80"/>
      </w:pPr>
      <w:r>
        <w:rPr>
          <w:rFonts w:ascii="Segoe UI" w:hAnsi="Segoe UI"/>
          <w:b/>
          <w:color w:val="14181F"/>
          <w:sz w:val="21"/>
        </w:rPr>
        <w:t>Model kartı:</w:t>
      </w:r>
      <w:r>
        <w:rPr>
          <w:rFonts w:ascii="Segoe UI" w:hAnsi="Segoe UI"/>
          <w:color w:val="22262E"/>
          <w:sz w:val="21"/>
        </w:rPr>
        <w:t xml:space="preserve"> nə edir, hansı data ilə öyrədilib, limitləri nədir.</w:t>
      </w:r>
    </w:p>
    <w:p>
      <w:pPr>
        <w:pStyle w:val="ListBullet"/>
        <w:spacing w:after="80"/>
      </w:pPr>
      <w:r>
        <w:rPr>
          <w:rFonts w:ascii="Segoe UI" w:hAnsi="Segoe UI"/>
          <w:b/>
          <w:color w:val="14181F"/>
          <w:sz w:val="21"/>
        </w:rPr>
        <w:t>Retraining təlimatı:</w:t>
      </w:r>
      <w:r>
        <w:rPr>
          <w:rFonts w:ascii="Segoe UI" w:hAnsi="Segoe UI"/>
          <w:color w:val="22262E"/>
          <w:sz w:val="21"/>
        </w:rPr>
        <w:t xml:space="preserve"> nə vaxt lazımdır, necə edilir.</w:t>
      </w:r>
    </w:p>
    <w:p>
      <w:pPr>
        <w:pStyle w:val="ListBullet"/>
        <w:spacing w:after="80"/>
      </w:pPr>
      <w:r>
        <w:rPr>
          <w:rFonts w:ascii="Segoe UI" w:hAnsi="Segoe UI"/>
          <w:color w:val="22262E"/>
          <w:sz w:val="21"/>
        </w:rPr>
        <w:t>Monitorinq dashboard-una giriş + alert qaydaları.</w:t>
      </w:r>
    </w:p>
    <w:p>
      <w:pPr>
        <w:pStyle w:val="ListBullet"/>
        <w:spacing w:after="80"/>
      </w:pPr>
      <w:r>
        <w:rPr>
          <w:rFonts w:ascii="Segoe UI" w:hAnsi="Segoe UI"/>
          <w:color w:val="22262E"/>
          <w:sz w:val="21"/>
        </w:rPr>
        <w:t>Təsdiqli LLM provayder + data sinfi matrisi.</w:t>
      </w: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746" w:val="right"/>
      </w:tabs>
    </w:pPr>
    <w:r/>
    <w:r>
      <w:rPr>
        <w:rFonts w:ascii="Segoe UI" w:hAnsi="Segoe UI"/>
        <w:color w:val="8A919C"/>
        <w:sz w:val="16"/>
      </w:rPr>
      <w:t>AIVanta Inc. — Daxili istifadə üçün</w:t>
      <w:tab/>
    </w:r>
    <w:r>
      <w:rPr>
        <w:rFonts w:ascii="Segoe UI" w:hAnsi="Segoe UI"/>
        <w:color w:val="8A919C"/>
        <w:sz w:val="16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300" w:lineRule="auto"/>
    </w:pPr>
    <w:rPr>
      <w:rFonts w:ascii="Segoe UI" w:hAnsi="Segoe UI"/>
      <w:color w:val="22262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