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DAXİLİ SƏNƏD · İŞ QAYDALARI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Versiya 1.0 · İyul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Analytics — İş Qaydaları</w:t>
      </w:r>
    </w:p>
    <w:p>
      <w:r>
        <w:rPr>
          <w:rFonts w:ascii="Segoe UI" w:hAnsi="Segoe UI"/>
          <w:color w:val="22262E"/>
          <w:sz w:val="21"/>
        </w:rPr>
        <w:t>Ümumi qaydalar tam keçərlidir. Aşağıdakılar analitika layihələrinə xas əməli qaydalar, tool stack və prosedurlardır.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1. Tool stack (standart)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7DBE0"/>
          <w:left w:val="single" w:sz="6" w:space="0" w:color="D7DBE0"/>
          <w:bottom w:val="single" w:sz="6" w:space="0" w:color="D7DBE0"/>
          <w:right w:val="single" w:sz="6" w:space="0" w:color="D7DBE0"/>
          <w:insideH w:val="single" w:sz="6" w:space="0" w:color="D7DBE0"/>
          <w:insideV w:val="single" w:sz="6" w:space="0" w:color="D7DBE0"/>
        </w:tblBorders>
      </w:tblPr>
      <w:tblGrid>
        <w:gridCol w:w="4873"/>
        <w:gridCol w:w="4873"/>
      </w:tblGrid>
      <w:tr>
        <w:tc>
          <w:tcPr>
            <w:tcW w:type="dxa" w:w="4873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Məqsəd</w:t>
            </w:r>
          </w:p>
        </w:tc>
        <w:tc>
          <w:tcPr>
            <w:tcW w:type="dxa" w:w="4873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Tool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Transformasiya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14181F"/>
                <w:sz w:val="19"/>
              </w:rPr>
              <w:t>dbt</w:t>
            </w:r>
            <w:r>
              <w:rPr>
                <w:rFonts w:ascii="Segoe UI" w:hAnsi="Segoe UI"/>
                <w:color w:val="22262E"/>
                <w:sz w:val="19"/>
              </w:rPr>
              <w:t xml:space="preserve"> (test + docs + lineage)</w:t>
            </w:r>
          </w:p>
        </w:tc>
      </w:tr>
      <w:tr>
        <w:tc>
          <w:tcPr>
            <w:tcW w:type="dxa" w:w="4873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Orkestrasiya</w:t>
            </w:r>
          </w:p>
        </w:tc>
        <w:tc>
          <w:tcPr>
            <w:tcW w:type="dxa" w:w="4873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14181F"/>
                <w:sz w:val="19"/>
              </w:rPr>
              <w:t>Airflow</w:t>
            </w:r>
            <w:r>
              <w:rPr>
                <w:rFonts w:ascii="Segoe UI" w:hAnsi="Segoe UI"/>
                <w:color w:val="22262E"/>
                <w:sz w:val="19"/>
              </w:rPr>
              <w:t xml:space="preserve"> (kiçik işlərdə cron / Dagster)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Warehouse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14181F"/>
                <w:sz w:val="19"/>
              </w:rPr>
              <w:t>Snowflake</w:t>
            </w:r>
            <w:r>
              <w:rPr>
                <w:rFonts w:ascii="Segoe UI" w:hAnsi="Segoe UI"/>
                <w:color w:val="22262E"/>
                <w:sz w:val="19"/>
              </w:rPr>
              <w:t xml:space="preserve"> / </w:t>
            </w:r>
            <w:r>
              <w:rPr>
                <w:rFonts w:ascii="Segoe UI" w:hAnsi="Segoe UI"/>
                <w:b/>
                <w:color w:val="14181F"/>
                <w:sz w:val="19"/>
              </w:rPr>
              <w:t>BigQuery</w:t>
            </w:r>
            <w:r>
              <w:rPr>
                <w:rFonts w:ascii="Segoe UI" w:hAnsi="Segoe UI"/>
                <w:color w:val="22262E"/>
                <w:sz w:val="19"/>
              </w:rPr>
              <w:t xml:space="preserve"> / </w:t>
            </w:r>
            <w:r>
              <w:rPr>
                <w:rFonts w:ascii="Segoe UI" w:hAnsi="Segoe UI"/>
                <w:b/>
                <w:color w:val="14181F"/>
                <w:sz w:val="19"/>
              </w:rPr>
              <w:t>Postgres</w:t>
            </w:r>
          </w:p>
        </w:tc>
      </w:tr>
      <w:tr>
        <w:tc>
          <w:tcPr>
            <w:tcW w:type="dxa" w:w="4873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BI / dashboard</w:t>
            </w:r>
          </w:p>
        </w:tc>
        <w:tc>
          <w:tcPr>
            <w:tcW w:type="dxa" w:w="4873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14181F"/>
                <w:sz w:val="19"/>
              </w:rPr>
              <w:t>Power BI</w:t>
            </w:r>
            <w:r>
              <w:rPr>
                <w:rFonts w:ascii="Segoe UI" w:hAnsi="Segoe UI"/>
                <w:color w:val="22262E"/>
                <w:sz w:val="19"/>
              </w:rPr>
              <w:t xml:space="preserve"> / </w:t>
            </w:r>
            <w:r>
              <w:rPr>
                <w:rFonts w:ascii="Segoe UI" w:hAnsi="Segoe UI"/>
                <w:b/>
                <w:color w:val="14181F"/>
                <w:sz w:val="19"/>
              </w:rPr>
              <w:t>Looker</w:t>
            </w:r>
            <w:r>
              <w:rPr>
                <w:rFonts w:ascii="Segoe UI" w:hAnsi="Segoe UI"/>
                <w:color w:val="22262E"/>
                <w:sz w:val="19"/>
              </w:rPr>
              <w:t xml:space="preserve"> / </w:t>
            </w:r>
            <w:r>
              <w:rPr>
                <w:rFonts w:ascii="Segoe UI" w:hAnsi="Segoe UI"/>
                <w:b/>
                <w:color w:val="14181F"/>
                <w:sz w:val="19"/>
              </w:rPr>
              <w:t>Metabase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Maskalama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Faker / warehouse masking policy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2. Müştəridən nə istəyirik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Read-only giriş:</w:t>
      </w:r>
      <w:r>
        <w:rPr>
          <w:rFonts w:ascii="Segoe UI" w:hAnsi="Segoe UI"/>
          <w:color w:val="22262E"/>
          <w:sz w:val="21"/>
        </w:rPr>
        <w:t xml:space="preserve"> read-only replica və ya ayrıca analytics istifadəçisi. </w:t>
      </w:r>
      <w:r>
        <w:rPr>
          <w:rFonts w:ascii="Segoe UI" w:hAnsi="Segoe UI"/>
          <w:b/>
          <w:color w:val="14181F"/>
          <w:sz w:val="21"/>
        </w:rPr>
        <w:t>Production bazaya yazma girişi istəmirik — heç vaxt.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Mənbə sistem sahibləri ilə əlaqə (CRM admin, DB admin) — sxem sualları üçün.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KPI sahibi:</w:t>
      </w:r>
      <w:r>
        <w:rPr>
          <w:rFonts w:ascii="Segoe UI" w:hAnsi="Segoe UI"/>
          <w:color w:val="22262E"/>
          <w:sz w:val="21"/>
        </w:rPr>
        <w:t xml:space="preserve"> hər metrikin biznes tərəfdən sahibi (tərifi o təsdiqləyir).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İş mühiti:</w:t>
      </w:r>
      <w:r>
        <w:rPr>
          <w:rFonts w:ascii="Segoe UI" w:hAnsi="Segoe UI"/>
          <w:color w:val="22262E"/>
          <w:sz w:val="21"/>
        </w:rPr>
        <w:t xml:space="preserve"> warehouse harada — müştərinin cloud-u (ayrıca project) və ya VM (standart spec; data həcminə görə disk artırıla bilər). BI aləti mövcud lisenziyalara görə.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3. Data qaydaları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Mənbə sistemlərdən data </w:t>
      </w:r>
      <w:r>
        <w:rPr>
          <w:rFonts w:ascii="Segoe UI" w:hAnsi="Segoe UI"/>
          <w:b/>
          <w:color w:val="14181F"/>
          <w:sz w:val="21"/>
        </w:rPr>
        <w:t>oxunur, dəyişdirilmir.</w:t>
      </w:r>
      <w:r>
        <w:rPr>
          <w:rFonts w:ascii="Segoe UI" w:hAnsi="Segoe UI"/>
          <w:color w:val="22262E"/>
          <w:sz w:val="21"/>
        </w:rPr>
        <w:t xml:space="preserve"> ETL yalnız bizim mühitdə transformasiya edir.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Sorğular mənbəni </w:t>
      </w:r>
      <w:r>
        <w:rPr>
          <w:rFonts w:ascii="Segoe UI" w:hAnsi="Segoe UI"/>
          <w:b/>
          <w:color w:val="14181F"/>
          <w:sz w:val="21"/>
        </w:rPr>
        <w:t>yormamalıdır:</w:t>
      </w:r>
      <w:r>
        <w:rPr>
          <w:rFonts w:ascii="Segoe UI" w:hAnsi="Segoe UI"/>
          <w:color w:val="22262E"/>
          <w:sz w:val="21"/>
        </w:rPr>
        <w:t xml:space="preserve"> ağır sorğu iş saatından kənar / replica üzərində; ilk işə salma DB admini ilə razılaşdırılır.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Runaway xərc</w:t>
      </w:r>
      <w:r>
        <w:rPr>
          <w:rFonts w:ascii="Segoe UI" w:hAnsi="Segoe UI"/>
          <w:color w:val="22262E"/>
          <w:sz w:val="21"/>
        </w:rPr>
        <w:t xml:space="preserve"> nəzarəti: Snowflake/BigQuery-də nəzarətsiz ağır sorğu böyük hesab yarada bilər — sorğular optimallaşdırılır, limit qoyulur (unudulan risk).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PII sahələr dashboard-larda yalnız zərurət + </w:t>
      </w:r>
      <w:r>
        <w:rPr>
          <w:rFonts w:ascii="Segoe UI" w:hAnsi="Segoe UI"/>
          <w:b/>
          <w:color w:val="14181F"/>
          <w:sz w:val="21"/>
        </w:rPr>
        <w:t>rol-əsaslı giriş (RLS)</w:t>
      </w:r>
      <w:r>
        <w:rPr>
          <w:rFonts w:ascii="Segoe UI" w:hAnsi="Segoe UI"/>
          <w:color w:val="22262E"/>
          <w:sz w:val="21"/>
        </w:rPr>
        <w:t xml:space="preserve"> ilə; lazım olanda </w:t>
      </w:r>
      <w:r>
        <w:rPr>
          <w:rFonts w:ascii="Segoe UI" w:hAnsi="Segoe UI"/>
          <w:b/>
          <w:color w:val="14181F"/>
          <w:sz w:val="21"/>
        </w:rPr>
        <w:t>maskalama</w:t>
      </w:r>
      <w:r>
        <w:rPr>
          <w:rFonts w:ascii="Segoe UI" w:hAnsi="Segoe UI"/>
          <w:color w:val="22262E"/>
          <w:sz w:val="21"/>
        </w:rPr>
        <w:t>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4. Metrik qaydaları (semantic layer)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Metric definitions sənədi məcburidir:</w:t>
      </w:r>
      <w:r>
        <w:rPr>
          <w:rFonts w:ascii="Segoe UI" w:hAnsi="Segoe UI"/>
          <w:color w:val="22262E"/>
          <w:sz w:val="21"/>
        </w:rPr>
        <w:t xml:space="preserve"> hər KPI — ad, düstur, mənbə sahələr, filtrlər, istisnalar. KPI sahibi yazılı təsdiqləyir.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Vahid mənbə (dbt / semantic layer) — </w:t>
      </w:r>
      <w:r>
        <w:rPr>
          <w:rFonts w:ascii="Segoe UI" w:hAnsi="Segoe UI"/>
          <w:b/>
          <w:color w:val="14181F"/>
          <w:sz w:val="21"/>
        </w:rPr>
        <w:t>hər dashboard eyni tərifi işlədir.</w:t>
      </w:r>
      <w:r>
        <w:rPr>
          <w:rFonts w:ascii="Segoe UI" w:hAnsi="Segoe UI"/>
          <w:color w:val="22262E"/>
          <w:sz w:val="21"/>
        </w:rPr>
        <w:t xml:space="preserve"> Əks halda rəhbərlik fərqli rəqəm görür (ən çox rast gəlinən problem).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Tərif dəyişəndə sənəd yenilənir + tarix qeyd olunur.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Hər dashboard-da </w:t>
      </w:r>
      <w:r>
        <w:rPr>
          <w:rFonts w:ascii="Segoe UI" w:hAnsi="Segoe UI"/>
          <w:b/>
          <w:color w:val="14181F"/>
          <w:sz w:val="21"/>
        </w:rPr>
        <w:t>son yenilənmə vaxtı (last refresh)</w:t>
      </w:r>
      <w:r>
        <w:rPr>
          <w:rFonts w:ascii="Segoe UI" w:hAnsi="Segoe UI"/>
          <w:color w:val="22262E"/>
          <w:sz w:val="21"/>
        </w:rPr>
        <w:t xml:space="preserve"> görünür.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5. Validasiya qaydası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Hər dashboard canlıya çıxmazdan əvvəl rəqəmlər mənbə sistemlə üzləşdirilir (ən azı 3 fərqli dövr / kəsim).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 xml:space="preserve">Müştəri </w:t>
      </w:r>
      <w:r>
        <w:rPr>
          <w:rFonts w:ascii="Segoe UI" w:hAnsi="Segoe UI"/>
          <w:b/>
          <w:color w:val="14181F"/>
          <w:sz w:val="21"/>
        </w:rPr>
        <w:t>sign-off verir: "rəqəmlər düzdür".</w:t>
      </w:r>
      <w:r>
        <w:rPr>
          <w:rFonts w:ascii="Segoe UI" w:hAnsi="Segoe UI"/>
          <w:color w:val="22262E"/>
          <w:sz w:val="21"/>
        </w:rPr>
        <w:t xml:space="preserve"> Bu təsdiq olmadan dashboard açılmır.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6. Refresh və test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dbt testləri:</w:t>
      </w:r>
      <w:r>
        <w:rPr>
          <w:rFonts w:ascii="Segoe UI" w:hAnsi="Segoe UI"/>
          <w:color w:val="22262E"/>
          <w:sz w:val="21"/>
        </w:rPr>
        <w:t xml:space="preserve"> freshness, uniqueness, not-null — pipeline-a daxil.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Refresh cədvəli sənədləşir: hansı data, nə tezliklə, nə qədər gecikmə normaldır (freshness SLA).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Pipeline xətası → alert kimə gedir, nə edilməli — runbook-da.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Refresh pəncərələri mənbənin pik saatlarından kənar.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7. Təhvildə əlavə olaraq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Metric definitions sənədinin son versiyası.</w:t>
      </w:r>
    </w:p>
    <w:p>
      <w:pPr>
        <w:pStyle w:val="ListBullet"/>
        <w:spacing w:after="80"/>
      </w:pPr>
      <w:r>
        <w:rPr>
          <w:rFonts w:ascii="Segoe UI" w:hAnsi="Segoe UI"/>
          <w:b/>
          <w:color w:val="14181F"/>
          <w:sz w:val="21"/>
        </w:rPr>
        <w:t>Pipeline sxemi + lineage:</w:t>
      </w:r>
      <w:r>
        <w:rPr>
          <w:rFonts w:ascii="Segoe UI" w:hAnsi="Segoe UI"/>
          <w:color w:val="22262E"/>
          <w:sz w:val="21"/>
        </w:rPr>
        <w:t xml:space="preserve"> mənbə → transformasiya → warehouse → dashboard (dbt docs).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Yeni istifadəçi / giriş vermə təlimatı.</w:t>
      </w:r>
    </w:p>
    <w:p>
      <w:pPr>
        <w:pStyle w:val="ListBullet"/>
        <w:spacing w:after="80"/>
      </w:pPr>
      <w:r>
        <w:rPr>
          <w:rFonts w:ascii="Segoe UI" w:hAnsi="Segoe UI"/>
          <w:color w:val="22262E"/>
          <w:sz w:val="21"/>
        </w:rPr>
        <w:t>Yeni metrik əlavə etmək üçün qısa yol (gələcəkdə özləri və ya biz — eyni qayda ilə).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Daxili istifadə üçün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