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Segoe UI" w:hAnsi="Segoe UI"/>
          <w:b/>
          <w:color w:val="0B7A67"/>
          <w:sz w:val="20"/>
        </w:rPr>
        <w:t>A I V A N T A</w:t>
      </w:r>
    </w:p>
    <w:p>
      <w:pPr>
        <w:spacing w:after="20"/>
      </w:pPr>
      <w:r>
        <w:rPr>
          <w:rFonts w:ascii="Segoe UI" w:hAnsi="Segoe UI"/>
          <w:color w:val="8A919C"/>
          <w:sz w:val="16"/>
        </w:rPr>
        <w:t>DAXİLİ SƏNƏD · İŞ QAYDALARI</w:t>
      </w:r>
    </w:p>
    <w:p>
      <w:pPr>
        <w:spacing w:after="120"/>
        <w:pBdr>
          <w:bottom w:val="single" w:sz="16" w:space="6" w:color="0B7A67"/>
        </w:pBdr>
      </w:pPr>
      <w:r>
        <w:rPr>
          <w:rFonts w:ascii="Segoe UI" w:hAnsi="Segoe UI"/>
          <w:color w:val="8A919C"/>
          <w:sz w:val="17"/>
        </w:rPr>
        <w:t>Versiya 1.0 · İyul 2026 · AIVanta Inc., Illinois, USA</w:t>
      </w:r>
    </w:p>
    <w:p>
      <w:pPr>
        <w:spacing w:before="200" w:after="120"/>
      </w:pPr>
      <w:r>
        <w:rPr>
          <w:rFonts w:ascii="Segoe UI" w:hAnsi="Segoe UI"/>
          <w:b/>
          <w:color w:val="14181F"/>
          <w:sz w:val="38"/>
        </w:rPr>
        <w:t>IT Security — İş Qaydaları</w:t>
      </w:r>
    </w:p>
    <w:p>
      <w:r>
        <w:rPr>
          <w:rFonts w:ascii="Segoe UI" w:hAnsi="Segoe UI"/>
          <w:color w:val="22262E"/>
          <w:sz w:val="21"/>
        </w:rPr>
        <w:t xml:space="preserve">Ümumi qaydalar tam keçərlidir. Bu sahədə qaydalar ən sərtdir — </w:t>
      </w:r>
      <w:r>
        <w:rPr>
          <w:rFonts w:ascii="Segoe UI" w:hAnsi="Segoe UI"/>
          <w:b/>
          <w:color w:val="14181F"/>
          <w:sz w:val="21"/>
        </w:rPr>
        <w:t>istisna yoxdur.</w:t>
      </w:r>
      <w:r>
        <w:rPr>
          <w:rFonts w:ascii="Segoe UI" w:hAnsi="Segoe UI"/>
          <w:color w:val="22262E"/>
          <w:sz w:val="21"/>
        </w:rPr>
        <w:t xml:space="preserve"> Aşağıda metodologiya, tool stack və prosedurlar.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1. Metodologiya</w:t>
      </w:r>
    </w:p>
    <w:p>
      <w:r>
        <w:rPr>
          <w:rFonts w:ascii="Segoe UI" w:hAnsi="Segoe UI"/>
          <w:color w:val="22262E"/>
          <w:sz w:val="21"/>
        </w:rPr>
        <w:t>Tanınmış çərçivələrə əsaslanırıq — "öz bildiyimiz kimi" yox: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OWASP</w:t>
      </w:r>
      <w:r>
        <w:rPr>
          <w:rFonts w:ascii="Segoe UI" w:hAnsi="Segoe UI"/>
          <w:color w:val="22262E"/>
          <w:sz w:val="21"/>
        </w:rPr>
        <w:t xml:space="preserve"> (WSTG + Top 10) — veb tətbiqlər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PTES</w:t>
      </w:r>
      <w:r>
        <w:rPr>
          <w:rFonts w:ascii="Segoe UI" w:hAnsi="Segoe UI"/>
          <w:color w:val="22262E"/>
          <w:sz w:val="21"/>
        </w:rPr>
        <w:t xml:space="preserve"> — penetration test prosesi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NIST 800-115</w:t>
      </w:r>
      <w:r>
        <w:rPr>
          <w:rFonts w:ascii="Segoe UI" w:hAnsi="Segoe UI"/>
          <w:color w:val="22262E"/>
          <w:sz w:val="21"/>
        </w:rPr>
        <w:t xml:space="preserve"> — texniki test metodologiyası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MITRE ATT&amp;CK</w:t>
      </w:r>
      <w:r>
        <w:rPr>
          <w:rFonts w:ascii="Segoe UI" w:hAnsi="Segoe UI"/>
          <w:color w:val="22262E"/>
          <w:sz w:val="21"/>
        </w:rPr>
        <w:t xml:space="preserve"> — hücum texnikaları istinadı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2. Tool stack (standart)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7DBE0"/>
          <w:left w:val="single" w:sz="6" w:space="0" w:color="D7DBE0"/>
          <w:bottom w:val="single" w:sz="6" w:space="0" w:color="D7DBE0"/>
          <w:right w:val="single" w:sz="6" w:space="0" w:color="D7DBE0"/>
          <w:insideH w:val="single" w:sz="6" w:space="0" w:color="D7DBE0"/>
          <w:insideV w:val="single" w:sz="6" w:space="0" w:color="D7DBE0"/>
        </w:tblBorders>
      </w:tblPr>
      <w:tblGrid>
        <w:gridCol w:w="4873"/>
        <w:gridCol w:w="4873"/>
      </w:tblGrid>
      <w:tr>
        <w:tc>
          <w:tcPr>
            <w:tcW w:type="dxa" w:w="4873"/>
            <w:shd w:val="clear" w:fill="0B7A67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Faza</w:t>
            </w:r>
          </w:p>
        </w:tc>
        <w:tc>
          <w:tcPr>
            <w:tcW w:type="dxa" w:w="4873"/>
            <w:shd w:val="clear" w:fill="0B7A67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Tool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Kəşf / skan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14181F"/>
                <w:sz w:val="19"/>
              </w:rPr>
              <w:t>Nmap</w:t>
            </w:r>
            <w:r>
              <w:rPr>
                <w:rFonts w:ascii="Segoe UI" w:hAnsi="Segoe UI"/>
                <w:color w:val="22262E"/>
                <w:sz w:val="19"/>
              </w:rPr>
              <w:t>, nuclei, ffuf</w:t>
            </w:r>
          </w:p>
        </w:tc>
      </w:tr>
      <w:tr>
        <w:tc>
          <w:tcPr>
            <w:tcW w:type="dxa" w:w="4873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Veb tətbiq</w:t>
            </w:r>
          </w:p>
        </w:tc>
        <w:tc>
          <w:tcPr>
            <w:tcW w:type="dxa" w:w="4873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14181F"/>
                <w:sz w:val="19"/>
              </w:rPr>
              <w:t>Burp Suite Pro</w:t>
            </w:r>
            <w:r>
              <w:rPr>
                <w:rFonts w:ascii="Segoe UI" w:hAnsi="Segoe UI"/>
                <w:color w:val="22262E"/>
                <w:sz w:val="19"/>
              </w:rPr>
              <w:t>, sqlmap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Zəiflik skanı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14181F"/>
                <w:sz w:val="19"/>
              </w:rPr>
              <w:t>Nessus</w:t>
            </w:r>
            <w:r>
              <w:rPr>
                <w:rFonts w:ascii="Segoe UI" w:hAnsi="Segoe UI"/>
                <w:color w:val="22262E"/>
                <w:sz w:val="19"/>
              </w:rPr>
              <w:t xml:space="preserve"> / </w:t>
            </w:r>
            <w:r>
              <w:rPr>
                <w:rFonts w:ascii="Segoe UI" w:hAnsi="Segoe UI"/>
                <w:b/>
                <w:color w:val="14181F"/>
                <w:sz w:val="19"/>
              </w:rPr>
              <w:t>OpenVAS</w:t>
            </w:r>
          </w:p>
        </w:tc>
      </w:tr>
      <w:tr>
        <w:tc>
          <w:tcPr>
            <w:tcW w:type="dxa" w:w="4873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İstismar (exploit)</w:t>
            </w:r>
          </w:p>
        </w:tc>
        <w:tc>
          <w:tcPr>
            <w:tcW w:type="dxa" w:w="4873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14181F"/>
                <w:sz w:val="19"/>
              </w:rPr>
              <w:t>Metasploit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Hesabat / scoring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14181F"/>
                <w:sz w:val="19"/>
              </w:rPr>
              <w:t>CVSS 3.1/4.0</w:t>
            </w:r>
          </w:p>
        </w:tc>
      </w:tr>
    </w:tbl>
    <w:p>
      <w:pPr>
        <w:spacing w:after="80"/>
      </w:pP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3. Başlamazdan əvvəl — MƏCBURİ şərtlər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Yazılı icazə (authorization letter):</w:t>
      </w:r>
      <w:r>
        <w:rPr>
          <w:rFonts w:ascii="Segoe UI" w:hAnsi="Segoe UI"/>
          <w:color w:val="22262E"/>
          <w:sz w:val="21"/>
        </w:rPr>
        <w:t xml:space="preserve"> müştəri rəhbərliyindən, imzalı. Scope-dakı sistemlər (IP, domen, tətbiq) əlavə olunur. </w:t>
      </w:r>
      <w:r>
        <w:rPr>
          <w:rFonts w:ascii="Segoe UI" w:hAnsi="Segoe UI"/>
          <w:b/>
          <w:color w:val="14181F"/>
          <w:sz w:val="21"/>
        </w:rPr>
        <w:t>Bu sənəd olmadan heç bir test, hətta port skanı belə başlamır.</w:t>
      </w:r>
      <w:r>
        <w:rPr>
          <w:rFonts w:ascii="Segoe UI" w:hAnsi="Segoe UI"/>
          <w:color w:val="22262E"/>
          <w:sz w:val="21"/>
        </w:rPr>
        <w:t xml:space="preserve"> *(Yazılı icazəsiz test = ABŞ-da CFAA üzrə cinayət riski — heç vaxt.)*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Rules of Engagement (RoE):</w:t>
      </w:r>
      <w:r>
        <w:rPr>
          <w:rFonts w:ascii="Segoe UI" w:hAnsi="Segoe UI"/>
          <w:color w:val="22262E"/>
          <w:sz w:val="21"/>
        </w:rPr>
        <w:t xml:space="preserve"> scope daxili/xarici IP-lər, test pəncərəsi, icazəli texnikalar, </w:t>
      </w:r>
      <w:r>
        <w:rPr>
          <w:rFonts w:ascii="Segoe UI" w:hAnsi="Segoe UI"/>
          <w:b/>
          <w:color w:val="14181F"/>
          <w:sz w:val="21"/>
        </w:rPr>
        <w:t>qadağan olunanlar</w:t>
      </w:r>
      <w:r>
        <w:rPr>
          <w:rFonts w:ascii="Segoe UI" w:hAnsi="Segoe UI"/>
          <w:color w:val="22262E"/>
          <w:sz w:val="21"/>
        </w:rPr>
        <w:t xml:space="preserve"> (məs. DoS), fövqəladə dayandırma əlaqəsi.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Sistemlər 3-cü tərəfdədirsə (hosting, SaaS) — müştəri həmin tərəfin test icazəsini də təsdiqlədiyini yazılı bildirir.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Fövqəladə əlaqə:</w:t>
      </w:r>
      <w:r>
        <w:rPr>
          <w:rFonts w:ascii="Segoe UI" w:hAnsi="Segoe UI"/>
          <w:color w:val="22262E"/>
          <w:sz w:val="21"/>
        </w:rPr>
        <w:t xml:space="preserve"> hər iki tərəfdən 24/7 nömrə.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4. Test qaydaları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Testlər yalnız </w:t>
      </w:r>
      <w:r>
        <w:rPr>
          <w:rFonts w:ascii="Segoe UI" w:hAnsi="Segoe UI"/>
          <w:b/>
          <w:color w:val="14181F"/>
          <w:sz w:val="21"/>
        </w:rPr>
        <w:t>razılaşdırılmış pəncərələrdə</w:t>
      </w:r>
      <w:r>
        <w:rPr>
          <w:rFonts w:ascii="Segoe UI" w:hAnsi="Segoe UI"/>
          <w:color w:val="22262E"/>
          <w:sz w:val="21"/>
        </w:rPr>
        <w:t xml:space="preserve"> (adətən iş saatından kənar). Pəncərədən kənar heç nə.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Scope-dan kənar sistemə toxunulmur</w:t>
      </w:r>
      <w:r>
        <w:rPr>
          <w:rFonts w:ascii="Segoe UI" w:hAnsi="Segoe UI"/>
          <w:color w:val="22262E"/>
          <w:sz w:val="21"/>
        </w:rPr>
        <w:t xml:space="preserve"> — maraqlı görünsə belə. Genişlənmə yalnız yeni yazılı icazə ilə.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Xidmət kəsintisi ehtimalı olan testlər (DoS, brute force) yalnız ayrıca açıq razılıqla.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Tapılan zəiflikdən yalnız </w:t>
      </w:r>
      <w:r>
        <w:rPr>
          <w:rFonts w:ascii="Segoe UI" w:hAnsi="Segoe UI"/>
          <w:b/>
          <w:color w:val="14181F"/>
          <w:sz w:val="21"/>
        </w:rPr>
        <w:t>sübut üçün minimum</w:t>
      </w:r>
      <w:r>
        <w:rPr>
          <w:rFonts w:ascii="Segoe UI" w:hAnsi="Segoe UI"/>
          <w:color w:val="22262E"/>
          <w:sz w:val="21"/>
        </w:rPr>
        <w:t xml:space="preserve"> istifadə — data çıxarılmır, sistem dəyişdirilmir, arxa qapı qoyulmur.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5. Sübut (evidence) idarəetməsi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Screenshot, log, data nümunəsi — layihə mühitində, </w:t>
      </w:r>
      <w:r>
        <w:rPr>
          <w:rFonts w:ascii="Segoe UI" w:hAnsi="Segoe UI"/>
          <w:b/>
          <w:color w:val="14181F"/>
          <w:sz w:val="21"/>
        </w:rPr>
        <w:t>şifrəli</w:t>
      </w:r>
      <w:r>
        <w:rPr>
          <w:rFonts w:ascii="Segoe UI" w:hAnsi="Segoe UI"/>
          <w:color w:val="22262E"/>
          <w:sz w:val="21"/>
        </w:rPr>
        <w:t xml:space="preserve"> saxlanılır.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Chain of custody: hansı sübut, nə vaxt, kim tərəfindən.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Hesabatdan sonra bütün sübutlar silinir (data destruction).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6. Hesabat qaydaları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Kritik zəiflik → 24 saat içində birbaşa bildiriş</w:t>
      </w:r>
      <w:r>
        <w:rPr>
          <w:rFonts w:ascii="Segoe UI" w:hAnsi="Segoe UI"/>
          <w:color w:val="22262E"/>
          <w:sz w:val="21"/>
        </w:rPr>
        <w:t xml:space="preserve"> (hesabat gözlənilmir).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Format: hər tapıntı — severity (</w:t>
      </w:r>
      <w:r>
        <w:rPr>
          <w:rFonts w:ascii="Segoe UI" w:hAnsi="Segoe UI"/>
          <w:b/>
          <w:color w:val="14181F"/>
          <w:sz w:val="21"/>
        </w:rPr>
        <w:t>CVSS</w:t>
      </w:r>
      <w:r>
        <w:rPr>
          <w:rFonts w:ascii="Segoe UI" w:hAnsi="Segoe UI"/>
          <w:color w:val="22262E"/>
          <w:sz w:val="21"/>
        </w:rPr>
        <w:t>), təsvir, sübut, biznes riski, konkret remediasiya addımı. Üstündə rəhbərlik üçün qısa xülasə.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Hesabat yalnız şifrəli kanalla</w:t>
      </w:r>
      <w:r>
        <w:rPr>
          <w:rFonts w:ascii="Segoe UI" w:hAnsi="Segoe UI"/>
          <w:color w:val="22262E"/>
          <w:sz w:val="21"/>
        </w:rPr>
        <w:t xml:space="preserve"> — PGP / age / parolla qorunan + ayrı kanalla. Adi email əlavəsi kimi (canlı zəifliklərlə dolu) </w:t>
      </w:r>
      <w:r>
        <w:rPr>
          <w:rFonts w:ascii="Segoe UI" w:hAnsi="Segoe UI"/>
          <w:b/>
          <w:color w:val="14181F"/>
          <w:sz w:val="21"/>
        </w:rPr>
        <w:t>heç vaxt</w:t>
      </w:r>
      <w:r>
        <w:rPr>
          <w:rFonts w:ascii="Segoe UI" w:hAnsi="Segoe UI"/>
          <w:color w:val="22262E"/>
          <w:sz w:val="21"/>
        </w:rPr>
        <w:t>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Hesabat yalnız müştərinin təyin etdiyi şəxslərə; bizdə yalnız layihə komandası görür.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7. Remediasiya və retest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Remediasiya müştəridə və ya bizdə — müqavilədə. Suallara dəstək davam edir.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Plana daxil </w:t>
      </w:r>
      <w:r>
        <w:rPr>
          <w:rFonts w:ascii="Segoe UI" w:hAnsi="Segoe UI"/>
          <w:b/>
          <w:color w:val="14181F"/>
          <w:sz w:val="21"/>
        </w:rPr>
        <w:t>bir retest ödənişsizdir</w:t>
      </w:r>
      <w:r>
        <w:rPr>
          <w:rFonts w:ascii="Segoe UI" w:hAnsi="Segoe UI"/>
          <w:color w:val="22262E"/>
          <w:sz w:val="21"/>
        </w:rPr>
        <w:t>; yekun hesabatda "bağlandı / qismən / açıqdır" statusu.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8. Davamlı monitorinq xidməti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Qoşulan log mənbələri + saxlama müddəti sənədləşir.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Eskalasiya matrisi:</w:t>
      </w:r>
      <w:r>
        <w:rPr>
          <w:rFonts w:ascii="Segoe UI" w:hAnsi="Segoe UI"/>
          <w:color w:val="22262E"/>
          <w:sz w:val="21"/>
        </w:rPr>
        <w:t xml:space="preserve"> hansı severity → kim, hansı kanal, hansı müddət (gecə saatları daxil) — kickoff-da təsdiqlənir.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İlk 2–4 həftə tuning (yalançı alarm təmizlənməsi); bu dövrdə alert çox ola bilər.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Aylıq hesabat: insidentlər, trendlər, tövsiyələr.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9. Təhvildə əlavə olaraq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Yekun hesabat + retest nəticələri.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Bütün girişlərin ləğvi təsdiqi (bu sahədə xüsusilə vacib) + sübut silinməsi.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Növbəti addım tövsiyələri (illik retest, monitorinq).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746" w:val="right"/>
      </w:tabs>
    </w:pPr>
    <w:r/>
    <w:r>
      <w:rPr>
        <w:rFonts w:ascii="Segoe UI" w:hAnsi="Segoe UI"/>
        <w:color w:val="8A919C"/>
        <w:sz w:val="16"/>
      </w:rPr>
      <w:t>AIVanta Inc. — Daxili istifadə üçün</w:t>
      <w:tab/>
    </w:r>
    <w:r>
      <w:rPr>
        <w:rFonts w:ascii="Segoe UI" w:hAnsi="Segoe UI"/>
        <w:color w:val="8A919C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00" w:lineRule="auto"/>
    </w:pPr>
    <w:rPr>
      <w:rFonts w:ascii="Segoe UI" w:hAnsi="Segoe UI"/>
      <w:color w:val="2226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