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20"/>
      </w:pPr>
      <w:r>
        <w:rPr>
          <w:rFonts w:ascii="Segoe UI" w:hAnsi="Segoe UI"/>
          <w:b/>
          <w:color w:val="0B7A67"/>
          <w:sz w:val="20"/>
        </w:rPr>
        <w:t>A I V A N T A</w:t>
      </w:r>
    </w:p>
    <w:p>
      <w:pPr>
        <w:spacing w:after="20"/>
      </w:pPr>
      <w:r>
        <w:rPr>
          <w:rFonts w:ascii="Segoe UI" w:hAnsi="Segoe UI"/>
          <w:color w:val="8A919C"/>
          <w:sz w:val="16"/>
        </w:rPr>
        <w:t>DAXİLİ SƏNƏD · LAYİHƏ YOL XƏRİTƏSİ</w:t>
      </w:r>
    </w:p>
    <w:p>
      <w:pPr>
        <w:spacing w:after="120"/>
        <w:pBdr>
          <w:bottom w:val="single" w:sz="16" w:space="6" w:color="0B7A67"/>
        </w:pBdr>
      </w:pPr>
      <w:r>
        <w:rPr>
          <w:rFonts w:ascii="Segoe UI" w:hAnsi="Segoe UI"/>
          <w:color w:val="8A919C"/>
          <w:sz w:val="17"/>
        </w:rPr>
        <w:t>Versiya 1.0 · İyul 2026 · AIVanta Inc., Illinois, USA</w:t>
      </w:r>
    </w:p>
    <w:p>
      <w:pPr>
        <w:spacing w:before="200" w:after="120"/>
      </w:pPr>
      <w:r>
        <w:rPr>
          <w:rFonts w:ascii="Segoe UI" w:hAnsi="Segoe UI"/>
          <w:b/>
          <w:color w:val="14181F"/>
          <w:sz w:val="38"/>
        </w:rPr>
        <w:t>Automation — Layihə yol xəritəsi</w:t>
      </w:r>
    </w:p>
    <w:p>
      <w:r>
        <w:rPr>
          <w:rFonts w:ascii="Segoe UI" w:hAnsi="Segoe UI"/>
          <w:color w:val="22262E"/>
          <w:sz w:val="21"/>
        </w:rPr>
        <w:t xml:space="preserve">Müraciətdən təhvilə qədər bütün addımlar. Fərqləndirici cəhət: köhnə proses yeni avtomatlaşdırma </w:t>
      </w:r>
      <w:r>
        <w:rPr>
          <w:rFonts w:ascii="Segoe UI" w:hAnsi="Segoe UI"/>
          <w:b/>
          <w:color w:val="14181F"/>
          <w:sz w:val="21"/>
        </w:rPr>
        <w:t>sübut olunana qədər dayandırılmır</w:t>
      </w:r>
      <w:r>
        <w:rPr>
          <w:rFonts w:ascii="Segoe UI" w:hAnsi="Segoe UI"/>
          <w:color w:val="22262E"/>
          <w:sz w:val="21"/>
        </w:rPr>
        <w:t>.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  <w:tblBorders>
          <w:top w:val="single" w:sz="6" w:space="0" w:color="D7DBE0"/>
          <w:left w:val="single" w:sz="6" w:space="0" w:color="D7DBE0"/>
          <w:bottom w:val="single" w:sz="6" w:space="0" w:color="D7DBE0"/>
          <w:right w:val="single" w:sz="6" w:space="0" w:color="D7DBE0"/>
          <w:insideH w:val="single" w:sz="6" w:space="0" w:color="D7DBE0"/>
          <w:insideV w:val="single" w:sz="6" w:space="0" w:color="D7DBE0"/>
        </w:tblBorders>
      </w:tblPr>
      <w:tblGrid>
        <w:gridCol w:w="2436"/>
        <w:gridCol w:w="2436"/>
        <w:gridCol w:w="2436"/>
        <w:gridCol w:w="2436"/>
      </w:tblGrid>
      <w:tr>
        <w:tc>
          <w:tcPr>
            <w:tcW w:type="dxa" w:w="2436"/>
            <w:shd w:val="clear" w:fill="0B7A67"/>
          </w:tcPr>
          <w:p>
            <w:r>
              <w:rPr>
                <w:rFonts w:ascii="Segoe UI" w:hAnsi="Segoe UI"/>
                <w:b/>
                <w:color w:val="FFFFFF"/>
                <w:sz w:val="19"/>
              </w:rPr>
              <w:t>#</w:t>
            </w:r>
          </w:p>
        </w:tc>
        <w:tc>
          <w:tcPr>
            <w:tcW w:type="dxa" w:w="2436"/>
            <w:shd w:val="clear" w:fill="0B7A67"/>
          </w:tcPr>
          <w:p>
            <w:r>
              <w:rPr>
                <w:rFonts w:ascii="Segoe UI" w:hAnsi="Segoe UI"/>
                <w:b/>
                <w:color w:val="FFFFFF"/>
                <w:sz w:val="19"/>
              </w:rPr>
              <w:t>Mərhələ</w:t>
            </w:r>
          </w:p>
        </w:tc>
        <w:tc>
          <w:tcPr>
            <w:tcW w:type="dxa" w:w="2436"/>
            <w:shd w:val="clear" w:fill="0B7A67"/>
          </w:tcPr>
          <w:p>
            <w:r>
              <w:rPr>
                <w:rFonts w:ascii="Segoe UI" w:hAnsi="Segoe UI"/>
                <w:b/>
                <w:color w:val="FFFFFF"/>
                <w:sz w:val="19"/>
              </w:rPr>
              <w:t>Müddət</w:t>
            </w:r>
          </w:p>
        </w:tc>
        <w:tc>
          <w:tcPr>
            <w:tcW w:type="dxa" w:w="2436"/>
            <w:shd w:val="clear" w:fill="0B7A67"/>
          </w:tcPr>
          <w:p>
            <w:r>
              <w:rPr>
                <w:rFonts w:ascii="Segoe UI" w:hAnsi="Segoe UI"/>
                <w:b/>
                <w:color w:val="FFFFFF"/>
                <w:sz w:val="19"/>
              </w:rPr>
              <w:t>Nəticə</w:t>
            </w:r>
          </w:p>
        </w:tc>
      </w:tr>
      <w:tr>
        <w:tc>
          <w:tcPr>
            <w:tcW w:type="dxa" w:w="2436"/>
          </w:tcPr>
          <w:p>
            <w:pPr>
              <w:spacing w:after="40"/>
            </w:pPr>
            <w:r>
              <w:rPr>
                <w:rFonts w:ascii="Segoe UI" w:hAnsi="Segoe UI"/>
                <w:color w:val="22262E"/>
                <w:sz w:val="19"/>
              </w:rPr>
              <w:t>0</w:t>
            </w:r>
          </w:p>
        </w:tc>
        <w:tc>
          <w:tcPr>
            <w:tcW w:type="dxa" w:w="2436"/>
          </w:tcPr>
          <w:p>
            <w:pPr>
              <w:spacing w:after="40"/>
            </w:pPr>
            <w:r>
              <w:rPr>
                <w:rFonts w:ascii="Segoe UI" w:hAnsi="Segoe UI"/>
                <w:color w:val="22262E"/>
                <w:sz w:val="19"/>
              </w:rPr>
              <w:t>Müraciət və cavab</w:t>
            </w:r>
          </w:p>
        </w:tc>
        <w:tc>
          <w:tcPr>
            <w:tcW w:type="dxa" w:w="2436"/>
          </w:tcPr>
          <w:p>
            <w:pPr>
              <w:spacing w:after="40"/>
            </w:pPr>
            <w:r>
              <w:rPr>
                <w:rFonts w:ascii="Segoe UI" w:hAnsi="Segoe UI"/>
                <w:color w:val="22262E"/>
                <w:sz w:val="19"/>
              </w:rPr>
              <w:t>1–2 iş günü</w:t>
            </w:r>
          </w:p>
        </w:tc>
        <w:tc>
          <w:tcPr>
            <w:tcW w:type="dxa" w:w="2436"/>
          </w:tcPr>
          <w:p>
            <w:pPr>
              <w:spacing w:after="40"/>
            </w:pPr>
            <w:r>
              <w:rPr>
                <w:rFonts w:ascii="Segoe UI" w:hAnsi="Segoe UI"/>
                <w:color w:val="22262E"/>
                <w:sz w:val="19"/>
              </w:rPr>
              <w:t>Görüş vaxtı təyin olunub</w:t>
            </w:r>
          </w:p>
        </w:tc>
      </w:tr>
      <w:tr>
        <w:tc>
          <w:tcPr>
            <w:tcW w:type="dxa" w:w="2436"/>
            <w:shd w:val="clear" w:fill="F4F6F8"/>
          </w:tcPr>
          <w:p>
            <w:pPr>
              <w:spacing w:after="40"/>
            </w:pPr>
            <w:r>
              <w:rPr>
                <w:rFonts w:ascii="Segoe UI" w:hAnsi="Segoe UI"/>
                <w:color w:val="22262E"/>
                <w:sz w:val="19"/>
              </w:rPr>
              <w:t>1</w:t>
            </w:r>
          </w:p>
        </w:tc>
        <w:tc>
          <w:tcPr>
            <w:tcW w:type="dxa" w:w="2436"/>
            <w:shd w:val="clear" w:fill="F4F6F8"/>
          </w:tcPr>
          <w:p>
            <w:pPr>
              <w:spacing w:after="40"/>
            </w:pPr>
            <w:r>
              <w:rPr>
                <w:rFonts w:ascii="Segoe UI" w:hAnsi="Segoe UI"/>
                <w:color w:val="22262E"/>
                <w:sz w:val="19"/>
              </w:rPr>
              <w:t>İlk görüş (discovery)</w:t>
            </w:r>
          </w:p>
        </w:tc>
        <w:tc>
          <w:tcPr>
            <w:tcW w:type="dxa" w:w="2436"/>
            <w:shd w:val="clear" w:fill="F4F6F8"/>
          </w:tcPr>
          <w:p>
            <w:pPr>
              <w:spacing w:after="40"/>
            </w:pPr>
            <w:r>
              <w:rPr>
                <w:rFonts w:ascii="Segoe UI" w:hAnsi="Segoe UI"/>
                <w:color w:val="22262E"/>
                <w:sz w:val="19"/>
              </w:rPr>
              <w:t>30–45 dəq</w:t>
            </w:r>
          </w:p>
        </w:tc>
        <w:tc>
          <w:tcPr>
            <w:tcW w:type="dxa" w:w="2436"/>
            <w:shd w:val="clear" w:fill="F4F6F8"/>
          </w:tcPr>
          <w:p>
            <w:pPr>
              <w:spacing w:after="40"/>
            </w:pPr>
            <w:r>
              <w:rPr>
                <w:rFonts w:ascii="Segoe UI" w:hAnsi="Segoe UI"/>
                <w:color w:val="22262E"/>
                <w:sz w:val="19"/>
              </w:rPr>
              <w:t>Hansı proseslər, nə qazanc</w:t>
            </w:r>
          </w:p>
        </w:tc>
      </w:tr>
      <w:tr>
        <w:tc>
          <w:tcPr>
            <w:tcW w:type="dxa" w:w="2436"/>
          </w:tcPr>
          <w:p>
            <w:pPr>
              <w:spacing w:after="40"/>
            </w:pPr>
            <w:r>
              <w:rPr>
                <w:rFonts w:ascii="Segoe UI" w:hAnsi="Segoe UI"/>
                <w:color w:val="22262E"/>
                <w:sz w:val="19"/>
              </w:rPr>
              <w:t>2</w:t>
            </w:r>
          </w:p>
        </w:tc>
        <w:tc>
          <w:tcPr>
            <w:tcW w:type="dxa" w:w="2436"/>
          </w:tcPr>
          <w:p>
            <w:pPr>
              <w:spacing w:after="40"/>
            </w:pPr>
            <w:r>
              <w:rPr>
                <w:rFonts w:ascii="Segoe UI" w:hAnsi="Segoe UI"/>
                <w:color w:val="22262E"/>
                <w:sz w:val="19"/>
              </w:rPr>
              <w:t>Proses xəritələnməsi</w:t>
            </w:r>
          </w:p>
        </w:tc>
        <w:tc>
          <w:tcPr>
            <w:tcW w:type="dxa" w:w="2436"/>
          </w:tcPr>
          <w:p>
            <w:pPr>
              <w:spacing w:after="40"/>
            </w:pPr>
            <w:r>
              <w:rPr>
                <w:rFonts w:ascii="Segoe UI" w:hAnsi="Segoe UI"/>
                <w:color w:val="22262E"/>
                <w:sz w:val="19"/>
              </w:rPr>
              <w:t>3–7 iş günü</w:t>
            </w:r>
          </w:p>
        </w:tc>
        <w:tc>
          <w:tcPr>
            <w:tcW w:type="dxa" w:w="2436"/>
          </w:tcPr>
          <w:p>
            <w:pPr>
              <w:spacing w:after="40"/>
            </w:pPr>
            <w:r>
              <w:rPr>
                <w:rFonts w:ascii="Segoe UI" w:hAnsi="Segoe UI"/>
                <w:color w:val="22262E"/>
                <w:sz w:val="19"/>
              </w:rPr>
              <w:t>As-is proses yazılı təsdiqlənib</w:t>
            </w:r>
          </w:p>
        </w:tc>
      </w:tr>
      <w:tr>
        <w:tc>
          <w:tcPr>
            <w:tcW w:type="dxa" w:w="2436"/>
            <w:shd w:val="clear" w:fill="F4F6F8"/>
          </w:tcPr>
          <w:p>
            <w:pPr>
              <w:spacing w:after="40"/>
            </w:pPr>
            <w:r>
              <w:rPr>
                <w:rFonts w:ascii="Segoe UI" w:hAnsi="Segoe UI"/>
                <w:color w:val="22262E"/>
                <w:sz w:val="19"/>
              </w:rPr>
              <w:t>3</w:t>
            </w:r>
          </w:p>
        </w:tc>
        <w:tc>
          <w:tcPr>
            <w:tcW w:type="dxa" w:w="2436"/>
            <w:shd w:val="clear" w:fill="F4F6F8"/>
          </w:tcPr>
          <w:p>
            <w:pPr>
              <w:spacing w:after="40"/>
            </w:pPr>
            <w:r>
              <w:rPr>
                <w:rFonts w:ascii="Segoe UI" w:hAnsi="Segoe UI"/>
                <w:color w:val="22262E"/>
                <w:sz w:val="19"/>
              </w:rPr>
              <w:t>Təklif və müqavilə</w:t>
            </w:r>
          </w:p>
        </w:tc>
        <w:tc>
          <w:tcPr>
            <w:tcW w:type="dxa" w:w="2436"/>
            <w:shd w:val="clear" w:fill="F4F6F8"/>
          </w:tcPr>
          <w:p>
            <w:pPr>
              <w:spacing w:after="40"/>
            </w:pPr>
            <w:r>
              <w:rPr>
                <w:rFonts w:ascii="Segoe UI" w:hAnsi="Segoe UI"/>
                <w:color w:val="22262E"/>
                <w:sz w:val="19"/>
              </w:rPr>
              <w:t>2–3 iş günü</w:t>
            </w:r>
          </w:p>
        </w:tc>
        <w:tc>
          <w:tcPr>
            <w:tcW w:type="dxa" w:w="2436"/>
            <w:shd w:val="clear" w:fill="F4F6F8"/>
          </w:tcPr>
          <w:p>
            <w:pPr>
              <w:spacing w:after="40"/>
            </w:pPr>
            <w:r>
              <w:rPr>
                <w:rFonts w:ascii="Segoe UI" w:hAnsi="Segoe UI"/>
                <w:color w:val="22262E"/>
                <w:sz w:val="19"/>
              </w:rPr>
              <w:t>To-be dizayn + qiymət imzalanıb</w:t>
            </w:r>
          </w:p>
        </w:tc>
      </w:tr>
      <w:tr>
        <w:tc>
          <w:tcPr>
            <w:tcW w:type="dxa" w:w="2436"/>
          </w:tcPr>
          <w:p>
            <w:pPr>
              <w:spacing w:after="40"/>
            </w:pPr>
            <w:r>
              <w:rPr>
                <w:rFonts w:ascii="Segoe UI" w:hAnsi="Segoe UI"/>
                <w:color w:val="22262E"/>
                <w:sz w:val="19"/>
              </w:rPr>
              <w:t>4</w:t>
            </w:r>
          </w:p>
        </w:tc>
        <w:tc>
          <w:tcPr>
            <w:tcW w:type="dxa" w:w="2436"/>
          </w:tcPr>
          <w:p>
            <w:pPr>
              <w:spacing w:after="40"/>
            </w:pPr>
            <w:r>
              <w:rPr>
                <w:rFonts w:ascii="Segoe UI" w:hAnsi="Segoe UI"/>
                <w:color w:val="22262E"/>
                <w:sz w:val="19"/>
              </w:rPr>
              <w:t>Kickoff</w:t>
            </w:r>
          </w:p>
        </w:tc>
        <w:tc>
          <w:tcPr>
            <w:tcW w:type="dxa" w:w="2436"/>
          </w:tcPr>
          <w:p>
            <w:pPr>
              <w:spacing w:after="40"/>
            </w:pPr>
            <w:r>
              <w:rPr>
                <w:rFonts w:ascii="Segoe UI" w:hAnsi="Segoe UI"/>
                <w:color w:val="22262E"/>
                <w:sz w:val="19"/>
              </w:rPr>
              <w:t>~1 həftə</w:t>
            </w:r>
          </w:p>
        </w:tc>
        <w:tc>
          <w:tcPr>
            <w:tcW w:type="dxa" w:w="2436"/>
          </w:tcPr>
          <w:p>
            <w:pPr>
              <w:spacing w:after="40"/>
            </w:pPr>
            <w:r>
              <w:rPr>
                <w:rFonts w:ascii="Segoe UI" w:hAnsi="Segoe UI"/>
                <w:color w:val="22262E"/>
                <w:sz w:val="19"/>
              </w:rPr>
              <w:t>Test hesabları, mühit hazır</w:t>
            </w:r>
          </w:p>
        </w:tc>
      </w:tr>
      <w:tr>
        <w:tc>
          <w:tcPr>
            <w:tcW w:type="dxa" w:w="2436"/>
            <w:shd w:val="clear" w:fill="F4F6F8"/>
          </w:tcPr>
          <w:p>
            <w:pPr>
              <w:spacing w:after="40"/>
            </w:pPr>
            <w:r>
              <w:rPr>
                <w:rFonts w:ascii="Segoe UI" w:hAnsi="Segoe UI"/>
                <w:color w:val="22262E"/>
                <w:sz w:val="19"/>
              </w:rPr>
              <w:t>5</w:t>
            </w:r>
          </w:p>
        </w:tc>
        <w:tc>
          <w:tcPr>
            <w:tcW w:type="dxa" w:w="2436"/>
            <w:shd w:val="clear" w:fill="F4F6F8"/>
          </w:tcPr>
          <w:p>
            <w:pPr>
              <w:spacing w:after="40"/>
            </w:pPr>
            <w:r>
              <w:rPr>
                <w:rFonts w:ascii="Segoe UI" w:hAnsi="Segoe UI"/>
                <w:color w:val="22262E"/>
                <w:sz w:val="19"/>
              </w:rPr>
              <w:t>Qurulma (build)</w:t>
            </w:r>
          </w:p>
        </w:tc>
        <w:tc>
          <w:tcPr>
            <w:tcW w:type="dxa" w:w="2436"/>
            <w:shd w:val="clear" w:fill="F4F6F8"/>
          </w:tcPr>
          <w:p>
            <w:pPr>
              <w:spacing w:after="40"/>
            </w:pPr>
            <w:r>
              <w:rPr>
                <w:rFonts w:ascii="Segoe UI" w:hAnsi="Segoe UI"/>
                <w:color w:val="22262E"/>
                <w:sz w:val="19"/>
              </w:rPr>
              <w:t>sprintlərlə</w:t>
            </w:r>
          </w:p>
        </w:tc>
        <w:tc>
          <w:tcPr>
            <w:tcW w:type="dxa" w:w="2436"/>
            <w:shd w:val="clear" w:fill="F4F6F8"/>
          </w:tcPr>
          <w:p>
            <w:pPr>
              <w:spacing w:after="40"/>
            </w:pPr>
            <w:r>
              <w:rPr>
                <w:rFonts w:ascii="Segoe UI" w:hAnsi="Segoe UI"/>
                <w:color w:val="22262E"/>
                <w:sz w:val="19"/>
              </w:rPr>
              <w:t>Workflow-lar test mühitində işləyir</w:t>
            </w:r>
          </w:p>
        </w:tc>
      </w:tr>
      <w:tr>
        <w:tc>
          <w:tcPr>
            <w:tcW w:type="dxa" w:w="2436"/>
          </w:tcPr>
          <w:p>
            <w:pPr>
              <w:spacing w:after="40"/>
            </w:pPr>
            <w:r>
              <w:rPr>
                <w:rFonts w:ascii="Segoe UI" w:hAnsi="Segoe UI"/>
                <w:color w:val="22262E"/>
                <w:sz w:val="19"/>
              </w:rPr>
              <w:t>6</w:t>
            </w:r>
          </w:p>
        </w:tc>
        <w:tc>
          <w:tcPr>
            <w:tcW w:type="dxa" w:w="2436"/>
          </w:tcPr>
          <w:p>
            <w:pPr>
              <w:spacing w:after="40"/>
            </w:pPr>
            <w:r>
              <w:rPr>
                <w:rFonts w:ascii="Segoe UI" w:hAnsi="Segoe UI"/>
                <w:color w:val="22262E"/>
                <w:sz w:val="19"/>
              </w:rPr>
              <w:t>Paralel dövr</w:t>
            </w:r>
          </w:p>
        </w:tc>
        <w:tc>
          <w:tcPr>
            <w:tcW w:type="dxa" w:w="2436"/>
          </w:tcPr>
          <w:p>
            <w:pPr>
              <w:spacing w:after="40"/>
            </w:pPr>
            <w:r>
              <w:rPr>
                <w:rFonts w:ascii="Segoe UI" w:hAnsi="Segoe UI"/>
                <w:color w:val="22262E"/>
                <w:sz w:val="19"/>
              </w:rPr>
              <w:t>min. 2 həftə</w:t>
            </w:r>
          </w:p>
        </w:tc>
        <w:tc>
          <w:tcPr>
            <w:tcW w:type="dxa" w:w="2436"/>
          </w:tcPr>
          <w:p>
            <w:pPr>
              <w:spacing w:after="40"/>
            </w:pPr>
            <w:r>
              <w:rPr>
                <w:rFonts w:ascii="Segoe UI" w:hAnsi="Segoe UI"/>
                <w:color w:val="22262E"/>
                <w:sz w:val="19"/>
              </w:rPr>
              <w:t>Nəticələr köhnə proseslə üst-üstə düşür</w:t>
            </w:r>
          </w:p>
        </w:tc>
      </w:tr>
      <w:tr>
        <w:tc>
          <w:tcPr>
            <w:tcW w:type="dxa" w:w="2436"/>
            <w:shd w:val="clear" w:fill="F4F6F8"/>
          </w:tcPr>
          <w:p>
            <w:pPr>
              <w:spacing w:after="40"/>
            </w:pPr>
            <w:r>
              <w:rPr>
                <w:rFonts w:ascii="Segoe UI" w:hAnsi="Segoe UI"/>
                <w:color w:val="22262E"/>
                <w:sz w:val="19"/>
              </w:rPr>
              <w:t>7</w:t>
            </w:r>
          </w:p>
        </w:tc>
        <w:tc>
          <w:tcPr>
            <w:tcW w:type="dxa" w:w="2436"/>
            <w:shd w:val="clear" w:fill="F4F6F8"/>
          </w:tcPr>
          <w:p>
            <w:pPr>
              <w:spacing w:after="40"/>
            </w:pPr>
            <w:r>
              <w:rPr>
                <w:rFonts w:ascii="Segoe UI" w:hAnsi="Segoe UI"/>
                <w:color w:val="22262E"/>
                <w:sz w:val="19"/>
              </w:rPr>
              <w:t>Cutover (keçid)</w:t>
            </w:r>
          </w:p>
        </w:tc>
        <w:tc>
          <w:tcPr>
            <w:tcW w:type="dxa" w:w="2436"/>
            <w:shd w:val="clear" w:fill="F4F6F8"/>
          </w:tcPr>
          <w:p>
            <w:pPr>
              <w:spacing w:after="40"/>
            </w:pPr>
            <w:r>
              <w:rPr>
                <w:rFonts w:ascii="Segoe UI" w:hAnsi="Segoe UI"/>
                <w:color w:val="22262E"/>
                <w:sz w:val="19"/>
              </w:rPr>
              <w:t>1–2 gün</w:t>
            </w:r>
          </w:p>
        </w:tc>
        <w:tc>
          <w:tcPr>
            <w:tcW w:type="dxa" w:w="2436"/>
            <w:shd w:val="clear" w:fill="F4F6F8"/>
          </w:tcPr>
          <w:p>
            <w:pPr>
              <w:spacing w:after="40"/>
            </w:pPr>
            <w:r>
              <w:rPr>
                <w:rFonts w:ascii="Segoe UI" w:hAnsi="Segoe UI"/>
                <w:color w:val="22262E"/>
                <w:sz w:val="19"/>
              </w:rPr>
              <w:t>Proses avtomat işləyir</w:t>
            </w:r>
          </w:p>
        </w:tc>
      </w:tr>
      <w:tr>
        <w:tc>
          <w:tcPr>
            <w:tcW w:type="dxa" w:w="2436"/>
          </w:tcPr>
          <w:p>
            <w:pPr>
              <w:spacing w:after="40"/>
            </w:pPr>
            <w:r>
              <w:rPr>
                <w:rFonts w:ascii="Segoe UI" w:hAnsi="Segoe UI"/>
                <w:color w:val="22262E"/>
                <w:sz w:val="19"/>
              </w:rPr>
              <w:t>8</w:t>
            </w:r>
          </w:p>
        </w:tc>
        <w:tc>
          <w:tcPr>
            <w:tcW w:type="dxa" w:w="2436"/>
          </w:tcPr>
          <w:p>
            <w:pPr>
              <w:spacing w:after="40"/>
            </w:pPr>
            <w:r>
              <w:rPr>
                <w:rFonts w:ascii="Segoe UI" w:hAnsi="Segoe UI"/>
                <w:color w:val="22262E"/>
                <w:sz w:val="19"/>
              </w:rPr>
              <w:t>Stabilizasiya</w:t>
            </w:r>
          </w:p>
        </w:tc>
        <w:tc>
          <w:tcPr>
            <w:tcW w:type="dxa" w:w="2436"/>
          </w:tcPr>
          <w:p>
            <w:pPr>
              <w:spacing w:after="40"/>
            </w:pPr>
            <w:r>
              <w:rPr>
                <w:rFonts w:ascii="Segoe UI" w:hAnsi="Segoe UI"/>
                <w:color w:val="22262E"/>
                <w:sz w:val="19"/>
              </w:rPr>
              <w:t>2–4 həftə</w:t>
            </w:r>
          </w:p>
        </w:tc>
        <w:tc>
          <w:tcPr>
            <w:tcW w:type="dxa" w:w="2436"/>
          </w:tcPr>
          <w:p>
            <w:pPr>
              <w:spacing w:after="40"/>
            </w:pPr>
            <w:r>
              <w:rPr>
                <w:rFonts w:ascii="Segoe UI" w:hAnsi="Segoe UI"/>
                <w:color w:val="22262E"/>
                <w:sz w:val="19"/>
              </w:rPr>
              <w:t>Real yük altında stabil</w:t>
            </w:r>
          </w:p>
        </w:tc>
      </w:tr>
      <w:tr>
        <w:tc>
          <w:tcPr>
            <w:tcW w:type="dxa" w:w="2436"/>
            <w:shd w:val="clear" w:fill="F4F6F8"/>
          </w:tcPr>
          <w:p>
            <w:pPr>
              <w:spacing w:after="40"/>
            </w:pPr>
            <w:r>
              <w:rPr>
                <w:rFonts w:ascii="Segoe UI" w:hAnsi="Segoe UI"/>
                <w:color w:val="22262E"/>
                <w:sz w:val="19"/>
              </w:rPr>
              <w:t>9</w:t>
            </w:r>
          </w:p>
        </w:tc>
        <w:tc>
          <w:tcPr>
            <w:tcW w:type="dxa" w:w="2436"/>
            <w:shd w:val="clear" w:fill="F4F6F8"/>
          </w:tcPr>
          <w:p>
            <w:pPr>
              <w:spacing w:after="40"/>
            </w:pPr>
            <w:r>
              <w:rPr>
                <w:rFonts w:ascii="Segoe UI" w:hAnsi="Segoe UI"/>
                <w:color w:val="22262E"/>
                <w:sz w:val="19"/>
              </w:rPr>
              <w:t>Təhvil-təslim</w:t>
            </w:r>
          </w:p>
        </w:tc>
        <w:tc>
          <w:tcPr>
            <w:tcW w:type="dxa" w:w="2436"/>
            <w:shd w:val="clear" w:fill="F4F6F8"/>
          </w:tcPr>
          <w:p>
            <w:pPr>
              <w:spacing w:after="40"/>
            </w:pPr>
            <w:r>
              <w:rPr>
                <w:rFonts w:ascii="Segoe UI" w:hAnsi="Segoe UI"/>
                <w:color w:val="22262E"/>
                <w:sz w:val="19"/>
              </w:rPr>
              <w:t>2–3 gün</w:t>
            </w:r>
          </w:p>
        </w:tc>
        <w:tc>
          <w:tcPr>
            <w:tcW w:type="dxa" w:w="2436"/>
            <w:shd w:val="clear" w:fill="F4F6F8"/>
          </w:tcPr>
          <w:p>
            <w:pPr>
              <w:spacing w:after="40"/>
            </w:pPr>
            <w:r>
              <w:rPr>
                <w:rFonts w:ascii="Segoe UI" w:hAnsi="Segoe UI"/>
                <w:color w:val="22262E"/>
                <w:sz w:val="19"/>
              </w:rPr>
              <w:t>Runbook, təlim, girişlərin ləğvi</w:t>
            </w:r>
          </w:p>
        </w:tc>
      </w:tr>
    </w:tbl>
    <w:p>
      <w:pPr>
        <w:spacing w:after="80"/>
      </w:pPr>
    </w:p>
    <w:p>
      <w:pPr>
        <w:keepNext/>
        <w:spacing w:before="280" w:after="100"/>
        <w:pBdr>
          <w:bottom w:val="single" w:sz="6" w:space="3" w:color="D7DBE0"/>
        </w:pBdr>
      </w:pPr>
      <w:r>
        <w:rPr>
          <w:rFonts w:ascii="Segoe UI" w:hAnsi="Segoe UI"/>
          <w:b/>
          <w:color w:val="0B7A67"/>
          <w:sz w:val="26"/>
        </w:rPr>
        <w:t>Addımlar</w:t>
      </w:r>
    </w:p>
    <w:p>
      <w:r>
        <w:rPr>
          <w:rFonts w:ascii="Segoe UI" w:hAnsi="Segoe UI"/>
          <w:b/>
          <w:color w:val="14181F"/>
          <w:sz w:val="21"/>
        </w:rPr>
        <w:t>0. Müraciət və cavab.</w:t>
      </w:r>
      <w:r>
        <w:rPr>
          <w:rFonts w:ascii="Segoe UI" w:hAnsi="Segoe UI"/>
          <w:color w:val="22262E"/>
          <w:sz w:val="21"/>
        </w:rPr>
        <w:t xml:space="preserve"> 1–2 iş günü içində cavab, görüş vaxtı təyin edilir.</w:t>
      </w:r>
    </w:p>
    <w:p>
      <w:r>
        <w:rPr>
          <w:rFonts w:ascii="Segoe UI" w:hAnsi="Segoe UI"/>
          <w:b/>
          <w:color w:val="14181F"/>
          <w:sz w:val="21"/>
        </w:rPr>
        <w:t>1. İlk görüş.</w:t>
      </w:r>
      <w:r>
        <w:rPr>
          <w:rFonts w:ascii="Segoe UI" w:hAnsi="Segoe UI"/>
          <w:color w:val="22262E"/>
          <w:sz w:val="21"/>
        </w:rPr>
        <w:t xml:space="preserve"> Hansı proseslər vaxt yeyir, harada səhvlər çıxır, nəyi avtomatlaşdırmaq istəyirlər — dinləyirik. Ən çox qazanc verəcək 1–3 proses seçilir.</w:t>
      </w:r>
    </w:p>
    <w:p>
      <w:r>
        <w:rPr>
          <w:rFonts w:ascii="Segoe UI" w:hAnsi="Segoe UI"/>
          <w:b/>
          <w:color w:val="14181F"/>
          <w:sz w:val="21"/>
        </w:rPr>
        <w:t>2. Proses xəritələnməsi.</w:t>
      </w:r>
      <w:r>
        <w:rPr>
          <w:rFonts w:ascii="Segoe UI" w:hAnsi="Segoe UI"/>
          <w:color w:val="22262E"/>
          <w:sz w:val="21"/>
        </w:rPr>
        <w:t xml:space="preserve"> Prosesi bu gün icra edən adamlarla birlikdə addım-addım sənədləşdiririk (ekran yazısı da olar). </w:t>
      </w:r>
      <w:r>
        <w:rPr>
          <w:rFonts w:ascii="Segoe UI" w:hAnsi="Segoe UI"/>
          <w:b/>
          <w:color w:val="14181F"/>
          <w:sz w:val="21"/>
        </w:rPr>
        <w:t>As-is proses müştəri tərəfindən yazılı təsdiqlənir</w:t>
      </w:r>
      <w:r>
        <w:rPr>
          <w:rFonts w:ascii="Segoe UI" w:hAnsi="Segoe UI"/>
          <w:color w:val="22262E"/>
          <w:sz w:val="21"/>
        </w:rPr>
        <w:t xml:space="preserve"> — avtomatlaşdırma yalnız düzgün başa düşülmüş prosesin üstündə qurulur.</w:t>
      </w:r>
    </w:p>
    <w:p>
      <w:r>
        <w:rPr>
          <w:rFonts w:ascii="Segoe UI" w:hAnsi="Segoe UI"/>
          <w:b/>
          <w:color w:val="14181F"/>
          <w:sz w:val="21"/>
        </w:rPr>
        <w:t>3. Təklif və müqavilə.</w:t>
      </w:r>
      <w:r>
        <w:rPr>
          <w:rFonts w:ascii="Segoe UI" w:hAnsi="Segoe UI"/>
          <w:color w:val="22262E"/>
          <w:sz w:val="21"/>
        </w:rPr>
        <w:t xml:space="preserve"> To-be (avtomatlaşdırılmış) prosesin dizaynı, istisna halların davranışı, scope, müddət və qiymət. Qəbul kriteriyası: prosesin hansı faizi avtomat gedir, xəta halında nə baş verir.</w:t>
      </w:r>
    </w:p>
    <w:p>
      <w:r>
        <w:rPr>
          <w:rFonts w:ascii="Segoe UI" w:hAnsi="Segoe UI"/>
          <w:b/>
          <w:color w:val="14181F"/>
          <w:sz w:val="21"/>
        </w:rPr>
        <w:t>4. Kickoff.</w:t>
      </w:r>
      <w:r>
        <w:rPr>
          <w:rFonts w:ascii="Segoe UI" w:hAnsi="Segoe UI"/>
          <w:color w:val="22262E"/>
          <w:sz w:val="21"/>
        </w:rPr>
        <w:t xml:space="preserve"> İnteqrasiya olunacaq sistemlərə test hesabları alınır, test mühiti qurulur, kommunikasiya kanalı razılaşdırılır. Qaydalar: qaydalar/automation.md.</w:t>
      </w:r>
    </w:p>
    <w:p>
      <w:r>
        <w:rPr>
          <w:rFonts w:ascii="Segoe UI" w:hAnsi="Segoe UI"/>
          <w:b/>
          <w:color w:val="14181F"/>
          <w:sz w:val="21"/>
        </w:rPr>
        <w:t>5. Qurulma.</w:t>
      </w:r>
      <w:r>
        <w:rPr>
          <w:rFonts w:ascii="Segoe UI" w:hAnsi="Segoe UI"/>
          <w:color w:val="22262E"/>
          <w:sz w:val="21"/>
        </w:rPr>
        <w:t xml:space="preserve"> Workflow-lar qurulur: API varsa API ilə, yoxdursa RPA. Hər addımda error handling + bildiriş. Hər həftə status + işlək demo.</w:t>
      </w:r>
    </w:p>
    <w:p>
      <w:r>
        <w:rPr>
          <w:rFonts w:ascii="Segoe UI" w:hAnsi="Segoe UI"/>
          <w:b/>
          <w:color w:val="14181F"/>
          <w:sz w:val="21"/>
        </w:rPr>
        <w:t>6. Paralel dövr.</w:t>
      </w:r>
      <w:r>
        <w:rPr>
          <w:rFonts w:ascii="Segoe UI" w:hAnsi="Segoe UI"/>
          <w:color w:val="22262E"/>
          <w:sz w:val="21"/>
        </w:rPr>
        <w:t xml:space="preserve"> Yeni avtomatlaşdırma </w:t>
      </w:r>
      <w:r>
        <w:rPr>
          <w:rFonts w:ascii="Segoe UI" w:hAnsi="Segoe UI"/>
          <w:b/>
          <w:color w:val="14181F"/>
          <w:sz w:val="21"/>
        </w:rPr>
        <w:t>minimum 2 həftə</w:t>
      </w:r>
      <w:r>
        <w:rPr>
          <w:rFonts w:ascii="Segoe UI" w:hAnsi="Segoe UI"/>
          <w:color w:val="22262E"/>
          <w:sz w:val="21"/>
        </w:rPr>
        <w:t xml:space="preserve"> köhnə prosesle yanaşı işləyir, nəticələr gündəlik tutuşdurulur. Fərq çıxarsa səbəb tapılıb düzəldilir və dövr uzadılır. Köhnə proses bu mərhələdə toxunulmaz qalır.</w:t>
      </w:r>
    </w:p>
    <w:p>
      <w:r>
        <w:rPr>
          <w:rFonts w:ascii="Segoe UI" w:hAnsi="Segoe UI"/>
          <w:b/>
          <w:color w:val="14181F"/>
          <w:sz w:val="21"/>
        </w:rPr>
        <w:t>7. Cutover.</w:t>
      </w:r>
      <w:r>
        <w:rPr>
          <w:rFonts w:ascii="Segoe UI" w:hAnsi="Segoe UI"/>
          <w:color w:val="22262E"/>
          <w:sz w:val="21"/>
        </w:rPr>
        <w:t xml:space="preserve"> Nəticələr üst-üstə düşəndən sonra köhnə prosesdən çıxış razılaşdırılmış gündə olur. Geri dönüş (köhnə prosesə qayıtma) yolu açıq saxlanılır.</w:t>
      </w:r>
    </w:p>
    <w:p>
      <w:r>
        <w:rPr>
          <w:rFonts w:ascii="Segoe UI" w:hAnsi="Segoe UI"/>
          <w:b/>
          <w:color w:val="14181F"/>
          <w:sz w:val="21"/>
        </w:rPr>
        <w:t>8. Stabilizasiya.</w:t>
      </w:r>
      <w:r>
        <w:rPr>
          <w:rFonts w:ascii="Segoe UI" w:hAnsi="Segoe UI"/>
          <w:color w:val="22262E"/>
          <w:sz w:val="21"/>
        </w:rPr>
        <w:t xml:space="preserve"> Real yük altında izləmə, xətaların dərhal həlli, lazım gələrsə tənzimləmə. </w:t>
      </w:r>
      <w:r>
        <w:rPr>
          <w:rFonts w:ascii="Segoe UI" w:hAnsi="Segoe UI"/>
          <w:b/>
          <w:color w:val="14181F"/>
          <w:sz w:val="21"/>
        </w:rPr>
        <w:t>Prosesin tam işlədiyinə əmin olmadan təhvil verib getmirik.</w:t>
      </w:r>
    </w:p>
    <w:p>
      <w:r>
        <w:rPr>
          <w:rFonts w:ascii="Segoe UI" w:hAnsi="Segoe UI"/>
          <w:b/>
          <w:color w:val="14181F"/>
          <w:sz w:val="21"/>
        </w:rPr>
        <w:t>9. Təhvil-təslim.</w:t>
      </w:r>
      <w:r>
        <w:rPr>
          <w:rFonts w:ascii="Segoe UI" w:hAnsi="Segoe UI"/>
          <w:color w:val="22262E"/>
          <w:sz w:val="21"/>
        </w:rPr>
        <w:t xml:space="preserve"> Runbook (necə dayandırmalı, necə yenidən başlatmalı, xəta çıxanda nə etməli), komanda təlimi, girişlərin ləğvi. Sonrası — razılaşdırılmış dəstək rejimi.</w:t>
      </w:r>
    </w:p>
    <w:sectPr w:rsidR="00FC693F" w:rsidRPr="0006063C" w:rsidSect="00034616">
      <w:footerReference w:type="default" r:id="rId9"/>
      <w:pgSz w:w="12240" w:h="15840"/>
      <w:pgMar w:top="1134" w:right="1247" w:bottom="1134" w:left="124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tabs>
        <w:tab w:pos="9746" w:val="right"/>
      </w:tabs>
    </w:pPr>
    <w:r/>
    <w:r>
      <w:rPr>
        <w:rFonts w:ascii="Segoe UI" w:hAnsi="Segoe UI"/>
        <w:color w:val="8A919C"/>
        <w:sz w:val="16"/>
      </w:rPr>
      <w:t>AIVanta Inc. — Daxili istifadə üçün</w:t>
      <w:tab/>
    </w:r>
    <w:r>
      <w:rPr>
        <w:rFonts w:ascii="Segoe UI" w:hAnsi="Segoe UI"/>
        <w:color w:val="8A919C"/>
        <w:sz w:val="16"/>
      </w:rPr>
      <w:fldChar w:fldCharType="begin"/>
      <w:instrText xml:space="preserve"> PAGE </w:instrText>
      <w:fldChar w:fldCharType="end"/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40" w:line="300" w:lineRule="auto"/>
    </w:pPr>
    <w:rPr>
      <w:rFonts w:ascii="Segoe UI" w:hAnsi="Segoe UI"/>
      <w:color w:val="22262E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