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— Delivery Rules</w:t>
      </w:r>
    </w:p>
    <w:p>
      <w:r>
        <w:rPr>
          <w:rFonts w:ascii="Segoe UI" w:hAnsi="Segoe UI"/>
          <w:color w:val="22262E"/>
          <w:sz w:val="21"/>
        </w:rPr>
        <w:t>The General Rules fully apply. Below are the operational rules, tool stack and procedures specific to analytics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Transformation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dbt</w:t>
            </w:r>
            <w:r>
              <w:rPr>
                <w:rFonts w:ascii="Segoe UI" w:hAnsi="Segoe UI"/>
                <w:color w:val="22262E"/>
                <w:sz w:val="19"/>
              </w:rPr>
              <w:t xml:space="preserve"> (tests + docs + lineage)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Orchestration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Airflow</w:t>
            </w:r>
            <w:r>
              <w:rPr>
                <w:rFonts w:ascii="Segoe UI" w:hAnsi="Segoe UI"/>
                <w:color w:val="22262E"/>
                <w:sz w:val="19"/>
              </w:rPr>
              <w:t xml:space="preserve"> (cron / Dagster for small jobs)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Warehouse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Snowflake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BigQuery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Postgres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BI / dashboards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Power BI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Looker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Metabase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Masking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Faker / warehouse masking policy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Read-only access:</w:t>
      </w:r>
      <w:r>
        <w:rPr>
          <w:rFonts w:ascii="Segoe UI" w:hAnsi="Segoe UI"/>
          <w:color w:val="22262E"/>
          <w:sz w:val="21"/>
        </w:rPr>
        <w:t xml:space="preserve"> a read-only replica or a dedicated analytics user. </w:t>
      </w:r>
      <w:r>
        <w:rPr>
          <w:rFonts w:ascii="Segoe UI" w:hAnsi="Segoe UI"/>
          <w:b/>
          <w:color w:val="14181F"/>
          <w:sz w:val="21"/>
        </w:rPr>
        <w:t>We never ask for write access to a production database — never.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Contact with the source-system owners (CRM admin, DB admin) — for schema questions.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KPI owner:</w:t>
      </w:r>
      <w:r>
        <w:rPr>
          <w:rFonts w:ascii="Segoe UI" w:hAnsi="Segoe UI"/>
          <w:color w:val="22262E"/>
          <w:sz w:val="21"/>
        </w:rPr>
        <w:t xml:space="preserve"> a business-side owner for every metric (they approve its definition).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Working environment:</w:t>
      </w:r>
      <w:r>
        <w:rPr>
          <w:rFonts w:ascii="Segoe UI" w:hAnsi="Segoe UI"/>
          <w:color w:val="22262E"/>
          <w:sz w:val="21"/>
        </w:rPr>
        <w:t xml:space="preserve"> where the warehouse lives — the client's cloud (separate project) or a VM (standard spec; disk can grow with data volume). The BI tool follows existing licenses.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Data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Data in source systems is </w:t>
      </w:r>
      <w:r>
        <w:rPr>
          <w:rFonts w:ascii="Segoe UI" w:hAnsi="Segoe UI"/>
          <w:b/>
          <w:color w:val="14181F"/>
          <w:sz w:val="21"/>
        </w:rPr>
        <w:t>read, never modified.</w:t>
      </w:r>
      <w:r>
        <w:rPr>
          <w:rFonts w:ascii="Segoe UI" w:hAnsi="Segoe UI"/>
          <w:color w:val="22262E"/>
          <w:sz w:val="21"/>
        </w:rPr>
        <w:t xml:space="preserve"> ETL transforms only inside our environment.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Queries must not </w:t>
      </w:r>
      <w:r>
        <w:rPr>
          <w:rFonts w:ascii="Segoe UI" w:hAnsi="Segoe UI"/>
          <w:b/>
          <w:color w:val="14181F"/>
          <w:sz w:val="21"/>
        </w:rPr>
        <w:t>strain the source:</w:t>
      </w:r>
      <w:r>
        <w:rPr>
          <w:rFonts w:ascii="Segoe UI" w:hAnsi="Segoe UI"/>
          <w:color w:val="22262E"/>
          <w:sz w:val="21"/>
        </w:rPr>
        <w:t xml:space="preserve"> heavy queries run outside business hours / against a replica; the first run is agreed with the DB admin.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Runaway-cost</w:t>
      </w:r>
      <w:r>
        <w:rPr>
          <w:rFonts w:ascii="Segoe UI" w:hAnsi="Segoe UI"/>
          <w:color w:val="22262E"/>
          <w:sz w:val="21"/>
        </w:rPr>
        <w:t xml:space="preserve"> control: an uncontrolled heavy query on Snowflake/BigQuery can create a large bill — queries are optimized and limited (a forgotten risk).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PII fields appear in dashboards only when necessary + behind </w:t>
      </w:r>
      <w:r>
        <w:rPr>
          <w:rFonts w:ascii="Segoe UI" w:hAnsi="Segoe UI"/>
          <w:b/>
          <w:color w:val="14181F"/>
          <w:sz w:val="21"/>
        </w:rPr>
        <w:t>role-based access (RLS)</w:t>
      </w:r>
      <w:r>
        <w:rPr>
          <w:rFonts w:ascii="Segoe UI" w:hAnsi="Segoe UI"/>
          <w:color w:val="22262E"/>
          <w:sz w:val="21"/>
        </w:rPr>
        <w:t xml:space="preserve">; with </w:t>
      </w:r>
      <w:r>
        <w:rPr>
          <w:rFonts w:ascii="Segoe UI" w:hAnsi="Segoe UI"/>
          <w:b/>
          <w:color w:val="14181F"/>
          <w:sz w:val="21"/>
        </w:rPr>
        <w:t>masking</w:t>
      </w:r>
      <w:r>
        <w:rPr>
          <w:rFonts w:ascii="Segoe UI" w:hAnsi="Segoe UI"/>
          <w:color w:val="22262E"/>
          <w:sz w:val="21"/>
        </w:rPr>
        <w:t xml:space="preserve"> where needed.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Metric rules (semantic layer)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metric definitions document is mandatory:</w:t>
      </w:r>
      <w:r>
        <w:rPr>
          <w:rFonts w:ascii="Segoe UI" w:hAnsi="Segoe UI"/>
          <w:color w:val="22262E"/>
          <w:sz w:val="21"/>
        </w:rPr>
        <w:t xml:space="preserve"> for every KPI — name, formula, source fields, filters, exceptions. The KPI owner approves it in writing.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single source (dbt / semantic layer) — </w:t>
      </w:r>
      <w:r>
        <w:rPr>
          <w:rFonts w:ascii="Segoe UI" w:hAnsi="Segoe UI"/>
          <w:b/>
          <w:color w:val="14181F"/>
          <w:sz w:val="21"/>
        </w:rPr>
        <w:t>every dashboard uses the same definition.</w:t>
      </w:r>
      <w:r>
        <w:rPr>
          <w:rFonts w:ascii="Segoe UI" w:hAnsi="Segoe UI"/>
          <w:color w:val="22262E"/>
          <w:sz w:val="21"/>
        </w:rPr>
        <w:t xml:space="preserve"> Otherwise executives see conflicting numbers (the most common problem).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When a definition changes, the document is updated + dated.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Every dashboard </w:t>
      </w:r>
      <w:r>
        <w:rPr>
          <w:rFonts w:ascii="Segoe UI" w:hAnsi="Segoe UI"/>
          <w:b/>
          <w:color w:val="14181F"/>
          <w:sz w:val="21"/>
        </w:rPr>
        <w:t>shows when its data was last refreshed.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Validation rule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Before any dashboard goes live, its numbers are reconciled with the source system (across at least 3 different periods / slices).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client gives a </w:t>
      </w:r>
      <w:r>
        <w:rPr>
          <w:rFonts w:ascii="Segoe UI" w:hAnsi="Segoe UI"/>
          <w:b/>
          <w:color w:val="14181F"/>
          <w:sz w:val="21"/>
        </w:rPr>
        <w:t>sign-off: "the numbers are correct."</w:t>
      </w:r>
      <w:r>
        <w:rPr>
          <w:rFonts w:ascii="Segoe UI" w:hAnsi="Segoe UI"/>
          <w:color w:val="22262E"/>
          <w:sz w:val="21"/>
        </w:rPr>
        <w:t xml:space="preserve"> Without this approval the dashboard is not opened.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Refresh and testing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dbt tests:</w:t>
      </w:r>
      <w:r>
        <w:rPr>
          <w:rFonts w:ascii="Segoe UI" w:hAnsi="Segoe UI"/>
          <w:color w:val="22262E"/>
          <w:sz w:val="21"/>
        </w:rPr>
        <w:t xml:space="preserve"> freshness, uniqueness, not-null — part of the pipeline.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refresh schedule is documented: which data, how often, how much lag is normal (freshness SLA).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On a pipeline failure → who gets the alert and what to do — in the runbook.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windows are away from the source's peak hours.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Extra handover items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final version of the metric definitions document.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Pipeline diagram + lineage:</w:t>
      </w:r>
      <w:r>
        <w:rPr>
          <w:rFonts w:ascii="Segoe UI" w:hAnsi="Segoe UI"/>
          <w:color w:val="22262E"/>
          <w:sz w:val="21"/>
        </w:rPr>
        <w:t xml:space="preserve"> source → transformation → warehouse → dashboard (dbt docs).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guide for adding a user / granting access.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short path for adding a new metric in the future (whether they do it or we do — same rules).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