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— Delivery Rules</w:t>
      </w:r>
    </w:p>
    <w:p>
      <w:r>
        <w:rPr>
          <w:rFonts w:ascii="Segoe UI" w:hAnsi="Segoe UI"/>
          <w:color w:val="22262E"/>
          <w:sz w:val="21"/>
        </w:rPr>
        <w:t>The General Rules fully apply. Below are the operational rules, tool stack and procedures specific to automation projects.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Tool stack (standard)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When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Low-code flows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n8n</w:t>
            </w:r>
            <w:r>
              <w:rPr>
                <w:rFonts w:ascii="Segoe UI" w:hAnsi="Segoe UI"/>
                <w:color w:val="22262E"/>
                <w:sz w:val="19"/>
              </w:rPr>
              <w:t xml:space="preserve"> (self-hosted, privacy-friendly)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Default choice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Low-code (client stack)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Make / Power Automate / Zapier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If the client already uses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Custom logic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Python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When API/low-code isn't enough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RPA (interface)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4181F"/>
                <w:sz w:val="19"/>
              </w:rPr>
              <w:t>Playwright</w:t>
            </w:r>
            <w:r>
              <w:rPr>
                <w:rFonts w:ascii="Segoe UI" w:hAnsi="Segoe UI"/>
                <w:color w:val="22262E"/>
                <w:sz w:val="19"/>
              </w:rPr>
              <w:t xml:space="preserve"> (or UiPath)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Only where there's no API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Secrets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Vault (1Password/Bitwarden)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Never kept in code/flows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Monitoring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Platform logs + alerts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Every run is tracked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4181F"/>
          <w:sz w:val="21"/>
        </w:rPr>
        <w:t>The platform account is opened in the client's name</w:t>
      </w:r>
      <w:r>
        <w:rPr>
          <w:rFonts w:ascii="Segoe UI" w:hAnsi="Segoe UI"/>
          <w:color w:val="22262E"/>
          <w:sz w:val="21"/>
        </w:rPr>
        <w:t xml:space="preserve"> — nothing stays dependent on us.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What we ask from the client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process owner</w:t>
      </w:r>
      <w:r>
        <w:rPr>
          <w:rFonts w:ascii="Segoe UI" w:hAnsi="Segoe UI"/>
          <w:color w:val="22262E"/>
          <w:sz w:val="21"/>
        </w:rPr>
        <w:t xml:space="preserve"> — the specific person(s) who run the process today.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Test accounts</w:t>
      </w:r>
      <w:r>
        <w:rPr>
          <w:rFonts w:ascii="Segoe UI" w:hAnsi="Segoe UI"/>
          <w:color w:val="22262E"/>
          <w:sz w:val="21"/>
        </w:rPr>
        <w:t xml:space="preserve"> — in every system to be integrated (we never work through real users' accounts).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test environment</w:t>
      </w:r>
      <w:r>
        <w:rPr>
          <w:rFonts w:ascii="Segoe UI" w:hAnsi="Segoe UI"/>
          <w:color w:val="22262E"/>
          <w:sz w:val="21"/>
        </w:rPr>
        <w:t xml:space="preserve"> — sandbox/test instance; where none exists, only agreed safe data.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 place to run</w:t>
      </w:r>
      <w:r>
        <w:rPr>
          <w:rFonts w:ascii="Segoe UI" w:hAnsi="Segoe UI"/>
          <w:color w:val="22262E"/>
          <w:sz w:val="21"/>
        </w:rPr>
        <w:t xml:space="preserve"> — where the flow will live: the client's VM (standard spec: General Rules) or a platform account.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Build rules (mandatory in every flow)</w:t>
      </w:r>
    </w:p>
    <w:p>
      <w:r>
        <w:rPr>
          <w:rFonts w:ascii="Segoe UI" w:hAnsi="Segoe UI"/>
          <w:color w:val="22262E"/>
          <w:sz w:val="21"/>
        </w:rPr>
        <w:t xml:space="preserve">Every automation must have these 5 things — </w:t>
      </w:r>
      <w:r>
        <w:rPr>
          <w:rFonts w:ascii="Segoe UI" w:hAnsi="Segoe UI"/>
          <w:b/>
          <w:color w:val="14181F"/>
          <w:sz w:val="21"/>
        </w:rPr>
        <w:t>no exceptions: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b/>
          <w:color w:val="14181F"/>
          <w:sz w:val="21"/>
        </w:rPr>
        <w:t>Idempotency</w:t>
      </w:r>
      <w:r>
        <w:rPr>
          <w:rFonts w:ascii="Segoe UI" w:hAnsi="Segoe UI"/>
          <w:color w:val="22262E"/>
          <w:sz w:val="21"/>
        </w:rPr>
        <w:t xml:space="preserve"> — if the same operation runs again, the result isn't duplicated (e.g. the same email isn't sent twice, the same payment isn't made twice).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Retry + backoff</w:t>
      </w:r>
      <w:r>
        <w:rPr>
          <w:rFonts w:ascii="Segoe UI" w:hAnsi="Segoe UI"/>
          <w:color w:val="22262E"/>
          <w:sz w:val="21"/>
        </w:rPr>
        <w:t xml:space="preserve"> — on a transient error, retry with exponential delay; if it ultimately fails, a </w:t>
      </w:r>
      <w:r>
        <w:rPr>
          <w:rFonts w:ascii="Segoe UI" w:hAnsi="Segoe UI"/>
          <w:b/>
          <w:color w:val="14181F"/>
          <w:sz w:val="21"/>
        </w:rPr>
        <w:t>dead-letter</w:t>
      </w:r>
      <w:r>
        <w:rPr>
          <w:rFonts w:ascii="Segoe UI" w:hAnsi="Segoe UI"/>
          <w:color w:val="22262E"/>
          <w:sz w:val="21"/>
        </w:rPr>
        <w:t xml:space="preserve"> (it lands somewhere, never lost).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b/>
          <w:color w:val="14181F"/>
          <w:sz w:val="21"/>
        </w:rPr>
        <w:t>Kill switch</w:t>
      </w:r>
      <w:r>
        <w:rPr>
          <w:rFonts w:ascii="Segoe UI" w:hAnsi="Segoe UI"/>
          <w:color w:val="22262E"/>
          <w:sz w:val="21"/>
        </w:rPr>
        <w:t xml:space="preserve"> — the client can stop the process themselves at any moment; its location is in the runbook.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b/>
          <w:color w:val="14181F"/>
          <w:sz w:val="21"/>
        </w:rPr>
        <w:t>Logging</w:t>
      </w:r>
      <w:r>
        <w:rPr>
          <w:rFonts w:ascii="Segoe UI" w:hAnsi="Segoe UI"/>
          <w:color w:val="22262E"/>
          <w:sz w:val="21"/>
        </w:rPr>
        <w:t xml:space="preserve"> — every operation: when, what was done, the result. Traceable backwards.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b/>
          <w:color w:val="14181F"/>
          <w:sz w:val="21"/>
        </w:rPr>
        <w:t>Owner</w:t>
      </w:r>
      <w:r>
        <w:rPr>
          <w:rFonts w:ascii="Segoe UI" w:hAnsi="Segoe UI"/>
          <w:color w:val="22262E"/>
          <w:sz w:val="21"/>
        </w:rPr>
        <w:t xml:space="preserve"> — each flow has one responsible person.</w:t>
      </w:r>
    </w:p>
    <w:p>
      <w:r>
        <w:rPr>
          <w:rFonts w:ascii="Segoe UI" w:hAnsi="Segoe UI"/>
          <w:color w:val="22262E"/>
          <w:sz w:val="21"/>
        </w:rPr>
        <w:t>Also: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API-first:</w:t>
      </w:r>
      <w:r>
        <w:rPr>
          <w:rFonts w:ascii="Segoe UI" w:hAnsi="Segoe UI"/>
          <w:color w:val="22262E"/>
          <w:sz w:val="21"/>
        </w:rPr>
        <w:t xml:space="preserve"> use the API if one exists; RPA only where there is none (it breaks when the interface changes).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Rate limit / quota</w:t>
      </w:r>
      <w:r>
        <w:rPr>
          <w:rFonts w:ascii="Segoe UI" w:hAnsi="Segoe UI"/>
          <w:color w:val="22262E"/>
          <w:sz w:val="21"/>
        </w:rPr>
        <w:t xml:space="preserve"> is respected — don't overload/flood the client system (a forgotten risk: an infinite loop → thousands of duplicate emails).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Financial / irreversible operations (payments, deletions, emails to customers) are first built </w:t>
      </w:r>
      <w:r>
        <w:rPr>
          <w:rFonts w:ascii="Segoe UI" w:hAnsi="Segoe UI"/>
          <w:b/>
          <w:color w:val="14181F"/>
          <w:sz w:val="21"/>
        </w:rPr>
        <w:t>with an approval step</w:t>
      </w:r>
      <w:r>
        <w:rPr>
          <w:rFonts w:ascii="Segoe UI" w:hAnsi="Segoe UI"/>
          <w:color w:val="22262E"/>
          <w:sz w:val="21"/>
        </w:rPr>
        <w:t>; fully automatic mode only after the parallel run, with written consent.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 auth: OAuth / scoped token, refresh handled properly; keys in the vault.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The parallel-run rule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new automation runs </w:t>
      </w:r>
      <w:r>
        <w:rPr>
          <w:rFonts w:ascii="Segoe UI" w:hAnsi="Segoe UI"/>
          <w:b/>
          <w:color w:val="14181F"/>
          <w:sz w:val="21"/>
        </w:rPr>
        <w:t>alongside the old process for at least 2 weeks.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Results are compared daily; if they diverge, no cutover happens — the period is extended instead.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The old process is untouched — the way back is open.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Testing and deployment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flow is built in </w:t>
      </w:r>
      <w:r>
        <w:rPr>
          <w:rFonts w:ascii="Segoe UI" w:hAnsi="Segoe UI"/>
          <w:b/>
          <w:color w:val="14181F"/>
          <w:sz w:val="21"/>
        </w:rPr>
        <w:t>test/staging</w:t>
      </w:r>
      <w:r>
        <w:rPr>
          <w:rFonts w:ascii="Segoe UI" w:hAnsi="Segoe UI"/>
          <w:color w:val="22262E"/>
          <w:sz w:val="21"/>
        </w:rPr>
        <w:t xml:space="preserve"> first, and reaches production only after it's confirmed working.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Flows are versioned (export + Git); changes go through a change request.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Extra handover items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Workflow map:</w:t>
      </w:r>
      <w:r>
        <w:rPr>
          <w:rFonts w:ascii="Segoe UI" w:hAnsi="Segoe UI"/>
          <w:color w:val="22262E"/>
          <w:sz w:val="21"/>
        </w:rPr>
        <w:t xml:space="preserve"> every step, every integration, every notification (trigger → action → owner).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Runbook:</w:t>
      </w:r>
      <w:r>
        <w:rPr>
          <w:rFonts w:ascii="Segoe UI" w:hAnsi="Segoe UI"/>
          <w:color w:val="22262E"/>
          <w:sz w:val="21"/>
        </w:rPr>
        <w:t xml:space="preserve"> stop / restart / resolving typical errors.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Change guide:</w:t>
      </w:r>
      <w:r>
        <w:rPr>
          <w:rFonts w:ascii="Segoe UI" w:hAnsi="Segoe UI"/>
          <w:color w:val="22262E"/>
          <w:sz w:val="21"/>
        </w:rPr>
        <w:t xml:space="preserve"> when one of the systems changes (new field, new version), what to check.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