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İŞ QAYDALARI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AI Solutions — iş qaydaları</w:t>
      </w:r>
    </w:p>
    <w:p>
      <w:r>
        <w:rPr>
          <w:rFonts w:ascii="Segoe UI" w:hAnsi="Segoe UI"/>
          <w:color w:val="22262E"/>
          <w:sz w:val="21"/>
        </w:rPr>
        <w:t>Ümumi qaydalar burada da keçərlidir. Aşağıdakılar AI layihələrinə xas əlavələrdir.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Müştəridən nə istəyirik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Data nümunəsi</w:t>
      </w:r>
      <w:r>
        <w:rPr>
          <w:rFonts w:ascii="Segoe UI" w:hAnsi="Segoe UI"/>
          <w:color w:val="22262E"/>
          <w:sz w:val="21"/>
        </w:rPr>
        <w:t xml:space="preserve"> — ilk görüşdən sonra, qiymətləndirmə üçün (anonimləşdirilmiş ola bilər).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Data sahibi ilə birbaşa əlaqə</w:t>
      </w:r>
      <w:r>
        <w:rPr>
          <w:rFonts w:ascii="Segoe UI" w:hAnsi="Segoe UI"/>
          <w:color w:val="22262E"/>
          <w:sz w:val="21"/>
        </w:rPr>
        <w:t xml:space="preserve"> — data ilə bağlı suallar POC üzərindən yox, birbaşa cavablandırılsın deyə.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Domain ekspertinin vaxtı</w:t>
      </w:r>
      <w:r>
        <w:rPr>
          <w:rFonts w:ascii="Segoe UI" w:hAnsi="Segoe UI"/>
          <w:color w:val="22262E"/>
          <w:sz w:val="21"/>
        </w:rPr>
        <w:t xml:space="preserve"> — həftədə minimum 1–2 saat. Modelin düzgün öyrənməsi üçün sahəni bilən adamın rəyi vacibdir.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İş mühiti:</w:t>
      </w:r>
      <w:r>
        <w:rPr>
          <w:rFonts w:ascii="Segoe UI" w:hAnsi="Segoe UI"/>
          <w:color w:val="22262E"/>
          <w:sz w:val="21"/>
        </w:rPr>
        <w:t xml:space="preserve"> on-prem işlənəcəksə GPU-lu VM (tələb layihəyə görə dəqiqləşir, tipik: NVIDIA 24 GB+ VRAM, 8 vCPU, 32 GB RAM, 200 GB SSD); cloud-dursa ayrıca project + GPU instance icazəsi. Xərc smetası əvvəlcədən verilir.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Data və model qaydaları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Müştəri datası ilə paylaşılan (shared/global) model öyrətmirik.</w:t>
      </w:r>
      <w:r>
        <w:rPr>
          <w:rFonts w:ascii="Segoe UI" w:hAnsi="Segoe UI"/>
          <w:color w:val="22262E"/>
          <w:sz w:val="21"/>
        </w:rPr>
        <w:t xml:space="preserve"> Müştərinin datası yalnız onun öz həllində istifadə olunur.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3-cü tərəf API (OpenAI, Anthropic və s.) istifadə olunacaqsa: </w:t>
      </w:r>
      <w:r>
        <w:rPr>
          <w:rFonts w:ascii="Segoe UI" w:hAnsi="Segoe UI"/>
          <w:b/>
          <w:color w:val="14181F"/>
          <w:sz w:val="21"/>
        </w:rPr>
        <w:t>əvvəlcədən yazılı razılıq</w:t>
      </w:r>
      <w:r>
        <w:rPr>
          <w:rFonts w:ascii="Segoe UI" w:hAnsi="Segoe UI"/>
          <w:color w:val="22262E"/>
          <w:sz w:val="21"/>
        </w:rPr>
        <w:t xml:space="preserve"> + hansı datanın API-yə gedəcəyi sənədləşir. Mümkün olan yerdə PII maskalanaraq göndərilir.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PII (şəxsi məlumat) training datasından mümkün qədər çıxarılır və ya maskalanır.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Data lineage saxlanılır: hansı model hansı data ilə, nə vaxt öyrədilib — təhvil sənədinə daxildir.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Keyfiyyət və qəbul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Qəbul kriteriyası müqavilədə </w:t>
      </w:r>
      <w:r>
        <w:rPr>
          <w:rFonts w:ascii="Segoe UI" w:hAnsi="Segoe UI"/>
          <w:b/>
          <w:color w:val="14181F"/>
          <w:sz w:val="21"/>
        </w:rPr>
        <w:t>rəqəmlə</w:t>
      </w:r>
      <w:r>
        <w:rPr>
          <w:rFonts w:ascii="Segoe UI" w:hAnsi="Segoe UI"/>
          <w:color w:val="22262E"/>
          <w:sz w:val="21"/>
        </w:rPr>
        <w:t xml:space="preserve"> yazılır: minimum dəqiqlik / precision-recall / cavab müddəti — layihəyə uyğun metrik.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Metrik POC mərhələsində ölçülür və hədəf realdırsa təsdiqlənir; deyilsə, hədəf birlikdə yenidən baxılır — sonda sürpriz olmur.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Test dataseti training-dən ayrı saxlanılır; qəbul yalnız test datası üzərindəki nəticə ilə olur.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Production qaydaları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Model canlıya çıxanda </w:t>
      </w:r>
      <w:r>
        <w:rPr>
          <w:rFonts w:ascii="Segoe UI" w:hAnsi="Segoe UI"/>
          <w:b/>
          <w:color w:val="14181F"/>
          <w:sz w:val="21"/>
        </w:rPr>
        <w:t>monitorinq qurulur:</w:t>
      </w:r>
      <w:r>
        <w:rPr>
          <w:rFonts w:ascii="Segoe UI" w:hAnsi="Segoe UI"/>
          <w:color w:val="22262E"/>
          <w:sz w:val="21"/>
        </w:rPr>
        <w:t xml:space="preserve"> performans, cavab müddəti, data drift. Alertlər kimə gedəcəyi runbook-da yazılır.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Modelin cavablarına insan nəzarəti lazımdırsa (yüksək riskli qərarlar), human-in-the-loop axını dizaynda əvvəlcədən nəzərə alınır.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Yeni model versiyası production-a yalnız köhnə ilə müqayisə testindən keçəndən sonra çıxır; köhnə versiyaya qayıtmaq (rollback) həmişə mümkün saxlanılır.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Təhvildə əlavə olaraq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Model kartı: nə edir, hansı data ilə öyrədilib, limitləri nədir.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Yenidən öyrətmə (retraining) təlimatı: nə vaxt lazımdır, necə edilir.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Monitorinq dashboard-una giriş və alert qaydaları.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