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Segoe UI" w:hAnsi="Segoe UI"/>
          <w:b/>
          <w:color w:val="0B7A67"/>
          <w:sz w:val="20"/>
        </w:rPr>
        <w:t>A I V A N T A</w:t>
      </w:r>
    </w:p>
    <w:p>
      <w:pPr>
        <w:spacing w:after="20"/>
      </w:pPr>
      <w:r>
        <w:rPr>
          <w:rFonts w:ascii="Segoe UI" w:hAnsi="Segoe UI"/>
          <w:color w:val="8A919C"/>
          <w:sz w:val="16"/>
        </w:rPr>
        <w:t>DAXİLİ SƏNƏD · İŞ QAYDALARI</w:t>
      </w:r>
    </w:p>
    <w:p>
      <w:pPr>
        <w:spacing w:after="120"/>
        <w:pBdr>
          <w:bottom w:val="single" w:sz="16" w:space="6" w:color="0B7A67"/>
        </w:pBdr>
      </w:pPr>
      <w:r>
        <w:rPr>
          <w:rFonts w:ascii="Segoe UI" w:hAnsi="Segoe UI"/>
          <w:color w:val="8A919C"/>
          <w:sz w:val="17"/>
        </w:rPr>
        <w:t>Versiya 1.0 · İyul 2026 · AIVanta Inc., Illinois, USA</w:t>
      </w:r>
    </w:p>
    <w:p>
      <w:pPr>
        <w:spacing w:before="200" w:after="120"/>
      </w:pPr>
      <w:r>
        <w:rPr>
          <w:rFonts w:ascii="Segoe UI" w:hAnsi="Segoe UI"/>
          <w:b/>
          <w:color w:val="14181F"/>
          <w:sz w:val="38"/>
        </w:rPr>
        <w:t>IT Security — iş qaydaları</w:t>
      </w:r>
    </w:p>
    <w:p>
      <w:r>
        <w:rPr>
          <w:rFonts w:ascii="Segoe UI" w:hAnsi="Segoe UI"/>
          <w:color w:val="22262E"/>
          <w:sz w:val="21"/>
        </w:rPr>
        <w:t>Ümumi qaydalar burada da keçərlidir. Aşağıdakılar təhlükəsizlik işlərinə xas əlavələrdir. Bu sahədə qaydalar ən sərtdir — istisna yoxdur.</w:t>
      </w: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Başlamazdan əvvəl — məcburi şərtlər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Yazılı icazə (authorization letter):</w:t>
      </w:r>
      <w:r>
        <w:rPr>
          <w:rFonts w:ascii="Segoe UI" w:hAnsi="Segoe UI"/>
          <w:color w:val="22262E"/>
          <w:sz w:val="21"/>
        </w:rPr>
        <w:t xml:space="preserve"> müştəri rəhbərliyindən, imzalı. Scope-dakı sistemlərin siyahısı (IP, domen, tətbiq) əlavə olunur. </w:t>
      </w:r>
      <w:r>
        <w:rPr>
          <w:rFonts w:ascii="Segoe UI" w:hAnsi="Segoe UI"/>
          <w:b/>
          <w:color w:val="14181F"/>
          <w:sz w:val="21"/>
        </w:rPr>
        <w:t>Bu sənəd olmadan heç bir test, hətta port skanı belə başlamır.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Sistemlər 3-cü tərəfdədirsə (hosting, SaaS) — müştəri həmin tərəfin test icazəsini də təsdiqlədiyini yazılı bildirir (məs. cloud provayderin pentest qaydaları).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Fövqəladə əlaqə:</w:t>
      </w:r>
      <w:r>
        <w:rPr>
          <w:rFonts w:ascii="Segoe UI" w:hAnsi="Segoe UI"/>
          <w:color w:val="22262E"/>
          <w:sz w:val="21"/>
        </w:rPr>
        <w:t xml:space="preserve"> hər iki tərəfdən 24/7 telefon nömrəsi. Test zamanı gözlənilməz vəziyyət yaranarsa dərhal zəng + testin dayandırılması.</w:t>
      </w: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Test qaydaları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Testlər yalnız </w:t>
      </w:r>
      <w:r>
        <w:rPr>
          <w:rFonts w:ascii="Segoe UI" w:hAnsi="Segoe UI"/>
          <w:b/>
          <w:color w:val="14181F"/>
          <w:sz w:val="21"/>
        </w:rPr>
        <w:t>razılaşdırılmış pəncərələrdə</w:t>
      </w:r>
      <w:r>
        <w:rPr>
          <w:rFonts w:ascii="Segoe UI" w:hAnsi="Segoe UI"/>
          <w:color w:val="22262E"/>
          <w:sz w:val="21"/>
        </w:rPr>
        <w:t xml:space="preserve"> (adətən iş saatlarından kənar). Pəncərədən kənar heç nə işlədilmir.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Scope-dan kənar sistemə toxunulmur</w:t>
      </w:r>
      <w:r>
        <w:rPr>
          <w:rFonts w:ascii="Segoe UI" w:hAnsi="Segoe UI"/>
          <w:color w:val="22262E"/>
          <w:sz w:val="21"/>
        </w:rPr>
        <w:t xml:space="preserve"> — test zamanı maraqlı görünsə belə. Scope genişlənməsi yalnız yeni yazılı icazə ilə.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Xidmət kəsintisinə səbəb ola biləcək testlər (DoS xarakterli, brute force və s.) yalnız ayrıca açıq razılıqla aparılır.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Tapılan zəiflikdən yalnız sübut üçün minimum istifadə olunur — data çıxarılmır, sistem dəyişdirilmir, arxa qapı qoyulmur.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Test zamanı əldə olunan hər şey (screenshot, log, data nümunəsi) layihə mühitində saxlanılır və hesabatdan sonra silinir.</w:t>
      </w: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Tapıntı və hesabat qaydaları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Kritik zəiflik → 24 saat içində birbaşa bildiriş.</w:t>
      </w:r>
      <w:r>
        <w:rPr>
          <w:rFonts w:ascii="Segoe UI" w:hAnsi="Segoe UI"/>
          <w:color w:val="22262E"/>
          <w:sz w:val="21"/>
        </w:rPr>
        <w:t xml:space="preserve"> Hesabatın hazır olması gözlənilmir; müştəri dərhal bağlamaq imkanı qazanır.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Hesabat formatı: hər tapıntı üçün severity (Critical/High/Medium/Low), təsvir, sübut, biznes riski, konkret remediasiya addımı. Üstündə rəhbərlik üçün texniki olmayan xülasə.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Hesabatlar və tapıntılar </w:t>
      </w:r>
      <w:r>
        <w:rPr>
          <w:rFonts w:ascii="Segoe UI" w:hAnsi="Segoe UI"/>
          <w:b/>
          <w:color w:val="14181F"/>
          <w:sz w:val="21"/>
        </w:rPr>
        <w:t>yalnız şifrəli kanalla</w:t>
      </w:r>
      <w:r>
        <w:rPr>
          <w:rFonts w:ascii="Segoe UI" w:hAnsi="Segoe UI"/>
          <w:color w:val="22262E"/>
          <w:sz w:val="21"/>
        </w:rPr>
        <w:t xml:space="preserve"> ötürülür — adi email əlavəsi kimi göndərilmir.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Hesabat yalnız müştərinin təyin etdiyi şəxslərə verilir; bizim tərəfdə yalnız layihə komandası görür.</w:t>
      </w: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Remediasiya və retest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Remediasiya müştəridə də qala bilər, bizdə də — müqavilədə yazılır. Hər halda suallara dəstək veririk.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Plana daxil </w:t>
      </w:r>
      <w:r>
        <w:rPr>
          <w:rFonts w:ascii="Segoe UI" w:hAnsi="Segoe UI"/>
          <w:b/>
          <w:color w:val="14181F"/>
          <w:sz w:val="21"/>
        </w:rPr>
        <w:t>bir retest ödənişsizdir</w:t>
      </w:r>
      <w:r>
        <w:rPr>
          <w:rFonts w:ascii="Segoe UI" w:hAnsi="Segoe UI"/>
          <w:color w:val="22262E"/>
          <w:sz w:val="21"/>
        </w:rPr>
        <w:t>; nəticəsi yekun hesabatda "bağlandı / qismən / açıqdır" statusu ilə göstərilir.</w:t>
      </w: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Davamlı monitorinq xidməti üçün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Qoşulan log mənbələrinin siyahısı və saxlama müddəti sənədləşir.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Eskalasiya matrisi:</w:t>
      </w:r>
      <w:r>
        <w:rPr>
          <w:rFonts w:ascii="Segoe UI" w:hAnsi="Segoe UI"/>
          <w:color w:val="22262E"/>
          <w:sz w:val="21"/>
        </w:rPr>
        <w:t xml:space="preserve"> hansı severity-də kim, hansı kanalla, hansı müddətdə məlumatlandırılır (gecə saatları daxil) — kickoff-da təsdiqlənir.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İlk 2–4 həftə tuning dövrüdür: yalançı alarmlar təmizlənir; bu dövrdə alert axını normaldan çox ola bilər.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Aylıq hesabat: insidentlər, trendlər, tövsiyələr.</w:t>
      </w: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Təhvildə əlavə olaraq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Yekun hesabat + retest nəticələri.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Bizim bütün girişlərin ləğvinin təsdiqi (bu sahədə xüsusilə vacibdir).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Tövsiyə olunan növbəti addımlar (illik retest, monitorinq və s.).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746" w:val="right"/>
      </w:tabs>
    </w:pPr>
    <w:r/>
    <w:r>
      <w:rPr>
        <w:rFonts w:ascii="Segoe UI" w:hAnsi="Segoe UI"/>
        <w:color w:val="8A919C"/>
        <w:sz w:val="16"/>
      </w:rPr>
      <w:t>AIVanta Inc. — Daxili istifadə üçün</w:t>
      <w:tab/>
    </w:r>
    <w:r>
      <w:rPr>
        <w:rFonts w:ascii="Segoe UI" w:hAnsi="Segoe UI"/>
        <w:color w:val="8A919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00" w:lineRule="auto"/>
    </w:pPr>
    <w:rPr>
      <w:rFonts w:ascii="Segoe UI" w:hAnsi="Segoe UI"/>
      <w:color w:val="2226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