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Segoe UI" w:hAnsi="Segoe UI"/>
          <w:b/>
          <w:color w:val="0B7A67"/>
          <w:sz w:val="20"/>
        </w:rPr>
        <w:t>A I V A N T A</w:t>
      </w:r>
    </w:p>
    <w:p>
      <w:pPr>
        <w:spacing w:after="20"/>
      </w:pPr>
      <w:r>
        <w:rPr>
          <w:rFonts w:ascii="Segoe UI" w:hAnsi="Segoe UI"/>
          <w:color w:val="8A919C"/>
          <w:sz w:val="16"/>
        </w:rPr>
        <w:t>DAXİLİ SƏNƏD · İŞ QAYDALARI</w:t>
      </w:r>
    </w:p>
    <w:p>
      <w:pPr>
        <w:spacing w:after="120"/>
        <w:pBdr>
          <w:bottom w:val="single" w:sz="16" w:space="6" w:color="0B7A67"/>
        </w:pBdr>
      </w:pPr>
      <w:r>
        <w:rPr>
          <w:rFonts w:ascii="Segoe UI" w:hAnsi="Segoe UI"/>
          <w:color w:val="8A919C"/>
          <w:sz w:val="17"/>
        </w:rPr>
        <w:t>Versiya 1.0 · İyul 2026 · AIVanta Inc., Illinois, USA</w:t>
      </w:r>
    </w:p>
    <w:p>
      <w:pPr>
        <w:spacing w:before="200" w:after="120"/>
      </w:pPr>
      <w:r>
        <w:rPr>
          <w:rFonts w:ascii="Segoe UI" w:hAnsi="Segoe UI"/>
          <w:b/>
          <w:color w:val="14181F"/>
          <w:sz w:val="38"/>
        </w:rPr>
        <w:t>Ümumi iş qaydaları (bütün sahələr üçün)</w:t>
      </w:r>
    </w:p>
    <w:p>
      <w:r>
        <w:rPr>
          <w:rFonts w:ascii="Segoe UI" w:hAnsi="Segoe UI"/>
          <w:color w:val="22262E"/>
          <w:sz w:val="21"/>
        </w:rPr>
        <w:t>Bu sənəd hər layihədə keçərlidir. Sahəyə xas qaydalar ayrıca fayllardadır. Burada yazılanlar kickoff görüşündə müştəri ilə razılaşdırılır və dəyişiklik yalnız yazılı təsdiqlə olur.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1. Prinsiplər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Least privilege</w:t>
      </w:r>
      <w:r>
        <w:rPr>
          <w:rFonts w:ascii="Segoe UI" w:hAnsi="Segoe UI"/>
          <w:color w:val="22262E"/>
          <w:sz w:val="21"/>
        </w:rPr>
        <w:t xml:space="preserve"> — yalnız lazım olan sistemə, minimal səviyyədə giriş.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Staging-first</w:t>
      </w:r>
      <w:r>
        <w:rPr>
          <w:rFonts w:ascii="Segoe UI" w:hAnsi="Segoe UI"/>
          <w:color w:val="22262E"/>
          <w:sz w:val="21"/>
        </w:rPr>
        <w:t xml:space="preserve"> — production-a birbaşa dəyişiklik yoxdur; əvvəl test mühiti.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Yazılı iz</w:t>
      </w:r>
      <w:r>
        <w:rPr>
          <w:rFonts w:ascii="Segoe UI" w:hAnsi="Segoe UI"/>
          <w:color w:val="22262E"/>
          <w:sz w:val="21"/>
        </w:rPr>
        <w:t xml:space="preserve"> — bütün qərarlar və razılaşmalar email ilə təsdiqlənir. Şifahi razılaşma = razılaşma deyil.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Konfidensiallıq</w:t>
      </w:r>
      <w:r>
        <w:rPr>
          <w:rFonts w:ascii="Segoe UI" w:hAnsi="Segoe UI"/>
          <w:color w:val="22262E"/>
          <w:sz w:val="21"/>
        </w:rPr>
        <w:t xml:space="preserve"> — müştəri məlumatı 3-cü tərəflə paylaşılmır; NDA istənilən mərhələdə imzalanır.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Tam işləyənə qədər ayrılmırıq</w:t>
      </w:r>
      <w:r>
        <w:rPr>
          <w:rFonts w:ascii="Segoe UI" w:hAnsi="Segoe UI"/>
          <w:color w:val="22262E"/>
          <w:sz w:val="21"/>
        </w:rPr>
        <w:t xml:space="preserve"> — təhvil yalnız stabilizasiyadan sonra.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2. Kommunikasiya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Hər iki tərəfdən </w:t>
      </w:r>
      <w:r>
        <w:rPr>
          <w:rFonts w:ascii="Segoe UI" w:hAnsi="Segoe UI"/>
          <w:b/>
          <w:color w:val="14181F"/>
          <w:sz w:val="21"/>
        </w:rPr>
        <w:t>bir məsul şəxs (POC)</w:t>
      </w:r>
      <w:r>
        <w:rPr>
          <w:rFonts w:ascii="Segoe UI" w:hAnsi="Segoe UI"/>
          <w:color w:val="22262E"/>
          <w:sz w:val="21"/>
        </w:rPr>
        <w:t xml:space="preserve"> təyin olunur — bütün suallar onun üzərindən gedir.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Kanallar: email (rəsmi qərarlar üçün), video görüş (Google Meet / Zoom), müştəri istəsə Slack / Teams (gündəlik operativ üçün).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Həftəlik status:</w:t>
      </w:r>
      <w:r>
        <w:rPr>
          <w:rFonts w:ascii="Segoe UI" w:hAnsi="Segoe UI"/>
          <w:color w:val="22262E"/>
          <w:sz w:val="21"/>
        </w:rPr>
        <w:t xml:space="preserve"> sabit gün/saat təyin olunur. Format: nə edildi, nə edilir, nə mane olur. 15–30 dəqiqədən uzun çəkmir.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Cavab müddətimiz: adi sual — 1 iş günü; bloklayan məsələ — 4 iş saatı.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3. Girişlər (access)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Müştərinin </w:t>
      </w:r>
      <w:r>
        <w:rPr>
          <w:rFonts w:ascii="Segoe UI" w:hAnsi="Segoe UI"/>
          <w:b/>
          <w:color w:val="14181F"/>
          <w:sz w:val="21"/>
        </w:rPr>
        <w:t>şəxsi və ya admin hesabının parolunu heç vaxt istəmirik</w:t>
      </w:r>
      <w:r>
        <w:rPr>
          <w:rFonts w:ascii="Segoe UI" w:hAnsi="Segoe UI"/>
          <w:color w:val="22262E"/>
          <w:sz w:val="21"/>
        </w:rPr>
        <w:t>. Bizim üçün ayrıca adlı hesablar (`ad.soyad@ / -aivanta` formasında) və ya bir service account yaradılır.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Bütün hesablarda </w:t>
      </w:r>
      <w:r>
        <w:rPr>
          <w:rFonts w:ascii="Segoe UI" w:hAnsi="Segoe UI"/>
          <w:b/>
          <w:color w:val="14181F"/>
          <w:sz w:val="21"/>
        </w:rPr>
        <w:t>MFA aktiv</w:t>
      </w:r>
      <w:r>
        <w:rPr>
          <w:rFonts w:ascii="Segoe UI" w:hAnsi="Segoe UI"/>
          <w:color w:val="22262E"/>
          <w:sz w:val="21"/>
        </w:rPr>
        <w:t xml:space="preserve"> olmalıdır; mümkün olan yerdə giriş VPN arxasından.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Girişlər </w:t>
      </w:r>
      <w:r>
        <w:rPr>
          <w:rFonts w:ascii="Segoe UI" w:hAnsi="Segoe UI"/>
          <w:b/>
          <w:color w:val="14181F"/>
          <w:sz w:val="21"/>
        </w:rPr>
        <w:t>müddətli verilir — standart 30 gün.</w:t>
      </w:r>
      <w:r>
        <w:rPr>
          <w:rFonts w:ascii="Segoe UI" w:hAnsi="Segoe UI"/>
          <w:color w:val="22262E"/>
          <w:sz w:val="21"/>
        </w:rPr>
        <w:t xml:space="preserve"> Layihə davam edirsə hər ayın sonunda uzadılma email ilə istənilir (kimə hansı giriş, nə üçün, nə qədər müddətə). Bu email həm bizim, həm müştərinin qeydiyyatıdır.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Girişlərin siyahısı layihə boyu bir sənəddə saxlanılır: kim, hansı sistem, hansı səviyyə, verilmə/bitmə tarixi.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Layihə bitəndə </w:t>
      </w:r>
      <w:r>
        <w:rPr>
          <w:rFonts w:ascii="Segoe UI" w:hAnsi="Segoe UI"/>
          <w:b/>
          <w:color w:val="14181F"/>
          <w:sz w:val="21"/>
        </w:rPr>
        <w:t>offboarding:</w:t>
      </w:r>
      <w:r>
        <w:rPr>
          <w:rFonts w:ascii="Segoe UI" w:hAnsi="Segoe UI"/>
          <w:color w:val="22262E"/>
          <w:sz w:val="21"/>
        </w:rPr>
        <w:t xml:space="preserve"> siyahıdakı bütün girişlər ləğv olunur, ləğv təhvil sənədində təsdiqlənir.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4. İş mühiti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Standart istək — müştəridən bizim işlər üçün </w:t>
      </w:r>
      <w:r>
        <w:rPr>
          <w:rFonts w:ascii="Segoe UI" w:hAnsi="Segoe UI"/>
          <w:b/>
          <w:color w:val="14181F"/>
          <w:sz w:val="21"/>
        </w:rPr>
        <w:t>1 ayrılmış VM:</w:t>
      </w:r>
      <w:r>
        <w:rPr>
          <w:rFonts w:ascii="Segoe UI" w:hAnsi="Segoe UI"/>
          <w:color w:val="22262E"/>
          <w:sz w:val="21"/>
        </w:rPr>
        <w:t xml:space="preserve"> minimum 4 vCPU / 16 GB RAM / 100 GB SSD, Ubuntu 22.04 LTS (və ya müştərinin öz OS standartı). Sahəyə görə fərqli tələblər sahə sənədindədir (məs. AI üçün GPU).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VM-ə giriş </w:t>
      </w:r>
      <w:r>
        <w:rPr>
          <w:rFonts w:ascii="Segoe UI" w:hAnsi="Segoe UI"/>
          <w:b/>
          <w:color w:val="14181F"/>
          <w:sz w:val="21"/>
        </w:rPr>
        <w:t>yalnız SSH açarı ilə</w:t>
      </w:r>
      <w:r>
        <w:rPr>
          <w:rFonts w:ascii="Segoe UI" w:hAnsi="Segoe UI"/>
          <w:color w:val="22262E"/>
          <w:sz w:val="21"/>
        </w:rPr>
        <w:t xml:space="preserve"> (parolla yox), IP məhdudiyyəti və ya VPN arxasından.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Müştəri cloud-dadırsa (AWS / Azure / GCP): VM əvəzinə ayrıca project / resource group + bizim üçün məhdud IAM rollar. Xərc müştərinin hesabında qalır — görünürlük tam onlarda olur.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Production-da iş yalnız planlaşdırılmış deploy pəncərəsində, rollback planı hazır halda.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5. Data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Ötürülmə </w:t>
      </w:r>
      <w:r>
        <w:rPr>
          <w:rFonts w:ascii="Segoe UI" w:hAnsi="Segoe UI"/>
          <w:b/>
          <w:color w:val="14181F"/>
          <w:sz w:val="21"/>
        </w:rPr>
        <w:t>yalnız şifrəli kanalla:</w:t>
      </w:r>
      <w:r>
        <w:rPr>
          <w:rFonts w:ascii="Segoe UI" w:hAnsi="Segoe UI"/>
          <w:color w:val="22262E"/>
          <w:sz w:val="21"/>
        </w:rPr>
        <w:t xml:space="preserve"> SFTP, müştərinin cloud storage-i (bizə açılmış bucket/qovluq) və ya müddətli şifrəli link. </w:t>
      </w:r>
      <w:r>
        <w:rPr>
          <w:rFonts w:ascii="Segoe UI" w:hAnsi="Segoe UI"/>
          <w:b/>
          <w:color w:val="14181F"/>
          <w:sz w:val="21"/>
        </w:rPr>
        <w:t>Email ilə data göndərilmir.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Mümkün olan yerdə </w:t>
      </w:r>
      <w:r>
        <w:rPr>
          <w:rFonts w:ascii="Segoe UI" w:hAnsi="Segoe UI"/>
          <w:b/>
          <w:color w:val="14181F"/>
          <w:sz w:val="21"/>
        </w:rPr>
        <w:t>anonimləşdirilmiş / maskalanmış data</w:t>
      </w:r>
      <w:r>
        <w:rPr>
          <w:rFonts w:ascii="Segoe UI" w:hAnsi="Segoe UI"/>
          <w:color w:val="22262E"/>
          <w:sz w:val="21"/>
        </w:rPr>
        <w:t xml:space="preserve"> ilə işləyirik. Production data yalnız zərurət olduqda və yazılı razılıqla.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Data yalnız layihə mühitində saxlanılır — şəxsi kompüterlərə kopyalanmır.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Layihə bitdikdən sonra </w:t>
      </w:r>
      <w:r>
        <w:rPr>
          <w:rFonts w:ascii="Segoe UI" w:hAnsi="Segoe UI"/>
          <w:b/>
          <w:color w:val="14181F"/>
          <w:sz w:val="21"/>
        </w:rPr>
        <w:t>30 gün içində data silinir</w:t>
      </w:r>
      <w:r>
        <w:rPr>
          <w:rFonts w:ascii="Segoe UI" w:hAnsi="Segoe UI"/>
          <w:color w:val="22262E"/>
          <w:sz w:val="21"/>
        </w:rPr>
        <w:t xml:space="preserve"> və silinmə təsdiqi email ilə göndərilir (müqavilədə fərqli saxlama nəzərdə tutulmayıbsa).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6. Scope və dəyişikliklər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Yeni istək = </w:t>
      </w:r>
      <w:r>
        <w:rPr>
          <w:rFonts w:ascii="Segoe UI" w:hAnsi="Segoe UI"/>
          <w:b/>
          <w:color w:val="14181F"/>
          <w:sz w:val="21"/>
        </w:rPr>
        <w:t>change request:</w:t>
      </w:r>
      <w:r>
        <w:rPr>
          <w:rFonts w:ascii="Segoe UI" w:hAnsi="Segoe UI"/>
          <w:color w:val="22262E"/>
          <w:sz w:val="21"/>
        </w:rPr>
        <w:t xml:space="preserve"> email ilə yazılır, effort və müddətə təsiri qiymətləndirilir, təsdiqdən sonra plana salınır.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"Balaca şeydir, elə indi əlavə edək" — yoxdur. Kiçik görünən dəyişiklik də qeyd olunur; sadəcə qiymətləndirməsi sürətli olur.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7. İnsident qaydası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Bizim qurduğumuz sistemdə problem çıxarsa: </w:t>
      </w:r>
      <w:r>
        <w:rPr>
          <w:rFonts w:ascii="Segoe UI" w:hAnsi="Segoe UI"/>
          <w:b/>
          <w:color w:val="14181F"/>
          <w:sz w:val="21"/>
        </w:rPr>
        <w:t>kritik (sistem dayanıb) — 4 saat içində reaksiya; digərləri — 1 iş günü.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Hər deploy-dan əvvəl rollback planı hazırdır; kritik insidentdə əvvəl sistem geri qaytarılır, sonra səbəb araşdırılır.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İnsidentdən sonra qısa post-mortem: nə oldu, niyə oldu, təkrarlanmaması üçün nə edildi.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8. Təhvil paketi (hər layihədə eyni)</w:t>
      </w:r>
    </w:p>
    <w:p>
      <w:pPr>
        <w:spacing w:after="80"/>
        <w:ind w:left="340"/>
      </w:pPr>
      <w:r>
        <w:rPr>
          <w:rFonts w:ascii="Segoe UI" w:hAnsi="Segoe UI"/>
          <w:b/>
          <w:color w:val="0B7A67"/>
          <w:sz w:val="21"/>
        </w:rPr>
        <w:t xml:space="preserve">1.  </w:t>
      </w:r>
      <w:r>
        <w:rPr>
          <w:rFonts w:ascii="Segoe UI" w:hAnsi="Segoe UI"/>
          <w:color w:val="22262E"/>
          <w:sz w:val="21"/>
        </w:rPr>
        <w:t>Arxitektura sxemi və konfiqurasiya sənədi.</w:t>
      </w:r>
    </w:p>
    <w:p>
      <w:pPr>
        <w:spacing w:after="80"/>
        <w:ind w:left="340"/>
      </w:pPr>
      <w:r>
        <w:rPr>
          <w:rFonts w:ascii="Segoe UI" w:hAnsi="Segoe UI"/>
          <w:b/>
          <w:color w:val="0B7A67"/>
          <w:sz w:val="21"/>
        </w:rPr>
        <w:t xml:space="preserve">2.  </w:t>
      </w:r>
      <w:r>
        <w:rPr>
          <w:rFonts w:ascii="Segoe UI" w:hAnsi="Segoe UI"/>
          <w:b/>
          <w:color w:val="14181F"/>
          <w:sz w:val="21"/>
        </w:rPr>
        <w:t>Runbook</w:t>
      </w:r>
      <w:r>
        <w:rPr>
          <w:rFonts w:ascii="Segoe UI" w:hAnsi="Segoe UI"/>
          <w:color w:val="22262E"/>
          <w:sz w:val="21"/>
        </w:rPr>
        <w:t xml:space="preserve"> — sistemi necə işə salmalı / dayandırmalı, tipik problemlər və həlləri, kimlə əlaqə saxlamalı.</w:t>
      </w:r>
    </w:p>
    <w:p>
      <w:pPr>
        <w:spacing w:after="80"/>
        <w:ind w:left="340"/>
      </w:pPr>
      <w:r>
        <w:rPr>
          <w:rFonts w:ascii="Segoe UI" w:hAnsi="Segoe UI"/>
          <w:b/>
          <w:color w:val="0B7A67"/>
          <w:sz w:val="21"/>
        </w:rPr>
        <w:t xml:space="preserve">3.  </w:t>
      </w:r>
      <w:r>
        <w:rPr>
          <w:rFonts w:ascii="Segoe UI" w:hAnsi="Segoe UI"/>
          <w:color w:val="22262E"/>
          <w:sz w:val="21"/>
        </w:rPr>
        <w:t>Secrets / parolların təhlükəsiz ötürülməsi (password manager və ya şifrəli kanal ilə — açıq mətnlə yox).</w:t>
      </w:r>
    </w:p>
    <w:p>
      <w:pPr>
        <w:spacing w:after="80"/>
        <w:ind w:left="340"/>
      </w:pPr>
      <w:r>
        <w:rPr>
          <w:rFonts w:ascii="Segoe UI" w:hAnsi="Segoe UI"/>
          <w:b/>
          <w:color w:val="0B7A67"/>
          <w:sz w:val="21"/>
        </w:rPr>
        <w:t xml:space="preserve">4.  </w:t>
      </w:r>
      <w:r>
        <w:rPr>
          <w:rFonts w:ascii="Segoe UI" w:hAnsi="Segoe UI"/>
          <w:color w:val="22262E"/>
          <w:sz w:val="21"/>
        </w:rPr>
        <w:t>Təlim sessiyası (1–2 saat, video yazıya alınır).</w:t>
      </w:r>
    </w:p>
    <w:p>
      <w:pPr>
        <w:spacing w:after="80"/>
        <w:ind w:left="340"/>
      </w:pPr>
      <w:r>
        <w:rPr>
          <w:rFonts w:ascii="Segoe UI" w:hAnsi="Segoe UI"/>
          <w:b/>
          <w:color w:val="0B7A67"/>
          <w:sz w:val="21"/>
        </w:rPr>
        <w:t xml:space="preserve">5.  </w:t>
      </w:r>
      <w:r>
        <w:rPr>
          <w:rFonts w:ascii="Segoe UI" w:hAnsi="Segoe UI"/>
          <w:color w:val="22262E"/>
          <w:sz w:val="21"/>
        </w:rPr>
        <w:t>Girişlərin ləğvi + data silinməsi təsdiqi.</w:t>
      </w:r>
    </w:p>
    <w:p>
      <w:pPr>
        <w:spacing w:after="80"/>
        <w:ind w:left="340"/>
      </w:pPr>
      <w:r>
        <w:rPr>
          <w:rFonts w:ascii="Segoe UI" w:hAnsi="Segoe UI"/>
          <w:b/>
          <w:color w:val="0B7A67"/>
          <w:sz w:val="21"/>
        </w:rPr>
        <w:t xml:space="preserve">6.  </w:t>
      </w:r>
      <w:r>
        <w:rPr>
          <w:rFonts w:ascii="Segoe UI" w:hAnsi="Segoe UI"/>
          <w:color w:val="22262E"/>
          <w:sz w:val="21"/>
        </w:rPr>
        <w:t>Dəstək şərtləri: nə daxildir, necə müraciət olunur, cavab müddətləri.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746" w:val="right"/>
      </w:tabs>
    </w:pPr>
    <w:r/>
    <w:r>
      <w:rPr>
        <w:rFonts w:ascii="Segoe UI" w:hAnsi="Segoe UI"/>
        <w:color w:val="8A919C"/>
        <w:sz w:val="16"/>
      </w:rPr>
      <w:t>AIVanta Inc. — Daxili istifadə üçün</w:t>
      <w:tab/>
    </w:r>
    <w:r>
      <w:rPr>
        <w:rFonts w:ascii="Segoe UI" w:hAnsi="Segoe UI"/>
        <w:color w:val="8A919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Segoe UI" w:hAnsi="Segoe UI"/>
      <w:color w:val="2226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