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DELIVERY RULES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1.0 · July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AI Solutions — Delivery Rules</w:t>
      </w:r>
    </w:p>
    <w:p>
      <w:r>
        <w:rPr>
          <w:rFonts w:ascii="Segoe UI" w:hAnsi="Segoe UI"/>
          <w:color w:val="22262E"/>
          <w:sz w:val="21"/>
        </w:rPr>
        <w:t>The General Delivery Rules apply here too. Below are the additions specific to AI projects.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What we ask from the client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 data sample</w:t>
      </w:r>
      <w:r>
        <w:rPr>
          <w:rFonts w:ascii="Segoe UI" w:hAnsi="Segoe UI"/>
          <w:color w:val="22262E"/>
          <w:sz w:val="21"/>
        </w:rPr>
        <w:t xml:space="preserve"> — after the first meeting, for the assessment (may be anonymized).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Direct contact with the data owner</w:t>
      </w:r>
      <w:r>
        <w:rPr>
          <w:rFonts w:ascii="Segoe UI" w:hAnsi="Segoe UI"/>
          <w:color w:val="22262E"/>
          <w:sz w:val="21"/>
        </w:rPr>
        <w:t xml:space="preserve"> — so data questions are answered directly, not routed through the POC.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Domain expert time</w:t>
      </w:r>
      <w:r>
        <w:rPr>
          <w:rFonts w:ascii="Segoe UI" w:hAnsi="Segoe UI"/>
          <w:color w:val="22262E"/>
          <w:sz w:val="21"/>
        </w:rPr>
        <w:t xml:space="preserve"> — at least 1–2 hours per week. The judgment of someone who knows the field is essential for the model to learn the right things.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Working environment:</w:t>
      </w:r>
      <w:r>
        <w:rPr>
          <w:rFonts w:ascii="Segoe UI" w:hAnsi="Segoe UI"/>
          <w:color w:val="22262E"/>
          <w:sz w:val="21"/>
        </w:rPr>
        <w:t xml:space="preserve"> for on-prem work, a GPU VM (exact requirement set per project; typical: NVIDIA 24 GB+ VRAM, 8 vCPU, 32 GB RAM, 200 GB SSD); in the cloud, a separate project + GPU instance quota. A cost estimate is provided up front.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Data and model rules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We never train shared/global models on client data.</w:t>
      </w:r>
      <w:r>
        <w:rPr>
          <w:rFonts w:ascii="Segoe UI" w:hAnsi="Segoe UI"/>
          <w:color w:val="22262E"/>
          <w:sz w:val="21"/>
        </w:rPr>
        <w:t xml:space="preserve"> A client's data is used only in their own solution.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If a third-party API (OpenAI, Anthropic, etc.) will be used: </w:t>
      </w:r>
      <w:r>
        <w:rPr>
          <w:rFonts w:ascii="Segoe UI" w:hAnsi="Segoe UI"/>
          <w:b/>
          <w:color w:val="14181F"/>
          <w:sz w:val="21"/>
        </w:rPr>
        <w:t>written consent in advance</w:t>
      </w:r>
      <w:r>
        <w:rPr>
          <w:rFonts w:ascii="Segoe UI" w:hAnsi="Segoe UI"/>
          <w:color w:val="22262E"/>
          <w:sz w:val="21"/>
        </w:rPr>
        <w:t xml:space="preserve"> + documentation of exactly what data goes to the API. PII is masked before sending wherever possible.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PII is removed from or masked in training data wherever possible.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Data lineage is maintained: which model was trained on which data, when — included in the handover package.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Quality and acceptance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The acceptance criterion is written in the agreement </w:t>
      </w:r>
      <w:r>
        <w:rPr>
          <w:rFonts w:ascii="Segoe UI" w:hAnsi="Segoe UI"/>
          <w:b/>
          <w:color w:val="14181F"/>
          <w:sz w:val="21"/>
        </w:rPr>
        <w:t>as a number:</w:t>
      </w:r>
      <w:r>
        <w:rPr>
          <w:rFonts w:ascii="Segoe UI" w:hAnsi="Segoe UI"/>
          <w:color w:val="22262E"/>
          <w:sz w:val="21"/>
        </w:rPr>
        <w:t xml:space="preserve"> minimum accuracy / precision-recall / response time — whichever metric fits the project.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metric is measured at the POC stage; if the target is realistic it is confirmed, if not, it is revisited together — no surprises at the end.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test dataset is kept separate from training; acceptance is judged only on test-set results.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Production rules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When a model goes live, </w:t>
      </w:r>
      <w:r>
        <w:rPr>
          <w:rFonts w:ascii="Segoe UI" w:hAnsi="Segoe UI"/>
          <w:b/>
          <w:color w:val="14181F"/>
          <w:sz w:val="21"/>
        </w:rPr>
        <w:t>monitoring is set up:</w:t>
      </w:r>
      <w:r>
        <w:rPr>
          <w:rFonts w:ascii="Segoe UI" w:hAnsi="Segoe UI"/>
          <w:color w:val="22262E"/>
          <w:sz w:val="21"/>
        </w:rPr>
        <w:t xml:space="preserve"> performance, response time, data drift. Who receives alerts is written in the runbook.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If human oversight is needed on model outputs (high-stakes decisions), the human-in-the-loop flow is designed in from the start.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 new model version reaches production only after a comparison test against the current one; rollback to the previous version is always possible.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Extra handover items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Model card: what it does, what data it was trained on, its limits.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Retraining guide: when it's needed, how to do it.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Access to the monitoring dashboard and the alerting rules.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Internal use only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