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DELIVERY RULES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Analytics — Delivery Rules</w:t>
      </w:r>
    </w:p>
    <w:p>
      <w:r>
        <w:rPr>
          <w:rFonts w:ascii="Segoe UI" w:hAnsi="Segoe UI"/>
          <w:color w:val="22262E"/>
          <w:sz w:val="21"/>
        </w:rPr>
        <w:t>The General Delivery Rules apply here too. Below are the additions specific to analytics projects.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What we ask from the client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Read-only access to data sources:</w:t>
      </w:r>
      <w:r>
        <w:rPr>
          <w:rFonts w:ascii="Segoe UI" w:hAnsi="Segoe UI"/>
          <w:color w:val="22262E"/>
          <w:sz w:val="21"/>
        </w:rPr>
        <w:t xml:space="preserve"> a read-only replica or a dedicated analytics user where possible. </w:t>
      </w:r>
      <w:r>
        <w:rPr>
          <w:rFonts w:ascii="Segoe UI" w:hAnsi="Segoe UI"/>
          <w:b/>
          <w:color w:val="14181F"/>
          <w:sz w:val="21"/>
        </w:rPr>
        <w:t>We never ask for write access to a production database.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Contact with the owners of the source systems (CRM admin, DB admin) — so schema questions get answered directly.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KPI owner:</w:t>
      </w:r>
      <w:r>
        <w:rPr>
          <w:rFonts w:ascii="Segoe UI" w:hAnsi="Segoe UI"/>
          <w:color w:val="22262E"/>
          <w:sz w:val="21"/>
        </w:rPr>
        <w:t xml:space="preserve"> a business-side owner for every metric — they approve its definition.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Working environment:</w:t>
      </w:r>
      <w:r>
        <w:rPr>
          <w:rFonts w:ascii="Segoe UI" w:hAnsi="Segoe UI"/>
          <w:color w:val="22262E"/>
          <w:sz w:val="21"/>
        </w:rPr>
        <w:t xml:space="preserve"> where the warehouse lives — the client's cloud (separate project) or a VM (standard spec: see General Rules; disk can be increased for data volume). The BI tool is chosen to match existing licenses (Power BI / Looker / Metabase / Grafana).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Data rules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Data in source systems is </w:t>
      </w:r>
      <w:r>
        <w:rPr>
          <w:rFonts w:ascii="Segoe UI" w:hAnsi="Segoe UI"/>
          <w:b/>
          <w:color w:val="14181F"/>
          <w:sz w:val="21"/>
        </w:rPr>
        <w:t>read, never modified.</w:t>
      </w:r>
      <w:r>
        <w:rPr>
          <w:rFonts w:ascii="Segoe UI" w:hAnsi="Segoe UI"/>
          <w:color w:val="22262E"/>
          <w:sz w:val="21"/>
        </w:rPr>
        <w:t xml:space="preserve"> ETL transforms only inside our environment.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Queries must not strain the source systems: heavy queries run outside business hours / against a replica; the first run is agreed with the DB admin in advance.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Fields containing PII appear in dashboards only when strictly needed, behind role-based access.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Metric rules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A metric definitions document is mandatory:</w:t>
      </w:r>
      <w:r>
        <w:rPr>
          <w:rFonts w:ascii="Segoe UI" w:hAnsi="Segoe UI"/>
          <w:color w:val="22262E"/>
          <w:sz w:val="21"/>
        </w:rPr>
        <w:t xml:space="preserve"> for every KPI — name, formula, source fields, filters, exceptions. The KPI owner approves it in writing.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When a definition changes, the document is updated and the change is dated — that is how "this number was different last month" situations are prevented.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Every dashboard </w:t>
      </w:r>
      <w:r>
        <w:rPr>
          <w:rFonts w:ascii="Segoe UI" w:hAnsi="Segoe UI"/>
          <w:b/>
          <w:color w:val="14181F"/>
          <w:sz w:val="21"/>
        </w:rPr>
        <w:t>shows when its data was last refreshed.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The validation rule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Before any dashboard goes live, its numbers are reconciled with the source system (across at least 3 different periods / slices).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The client gives a </w:t>
      </w:r>
      <w:r>
        <w:rPr>
          <w:rFonts w:ascii="Segoe UI" w:hAnsi="Segoe UI"/>
          <w:b/>
          <w:color w:val="14181F"/>
          <w:sz w:val="21"/>
        </w:rPr>
        <w:t>sign-off: "the numbers are correct."</w:t>
      </w:r>
      <w:r>
        <w:rPr>
          <w:rFonts w:ascii="Segoe UI" w:hAnsi="Segoe UI"/>
          <w:color w:val="22262E"/>
          <w:sz w:val="21"/>
        </w:rPr>
        <w:t xml:space="preserve"> Without this approval the dashboard is not opened to users.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Refresh and alerts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refresh schedule is documented: which data, how often, how much lag is normal (freshness SLA).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On a pipeline failure: who gets the alert and what to do — in the runbook.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Refresh windows are scheduled away from the source systems' peak hours.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Extra handover items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The final version of the metric definitions document.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Pipeline diagram: source → transformation → warehouse → dashboard.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 guide for adding users / granting access.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A short path for adding a new metric in the future (whether they do it or we do — same rules either way).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