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DELIVERY RULES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Automation — Delivery Rules</w:t>
      </w:r>
    </w:p>
    <w:p>
      <w:r>
        <w:rPr>
          <w:rFonts w:ascii="Segoe UI" w:hAnsi="Segoe UI"/>
          <w:color w:val="22262E"/>
          <w:sz w:val="21"/>
        </w:rPr>
        <w:t>The General Delivery Rules apply here too. Below are the additions specific to automation projects.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What we ask from the client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process owner</w:t>
      </w:r>
      <w:r>
        <w:rPr>
          <w:rFonts w:ascii="Segoe UI" w:hAnsi="Segoe UI"/>
          <w:color w:val="22262E"/>
          <w:sz w:val="21"/>
        </w:rPr>
        <w:t xml:space="preserve"> — the specific person(s) who run the process today. Mapping is done with them; approval comes from them.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Test accounts</w:t>
      </w:r>
      <w:r>
        <w:rPr>
          <w:rFonts w:ascii="Segoe UI" w:hAnsi="Segoe UI"/>
          <w:color w:val="22262E"/>
          <w:sz w:val="21"/>
        </w:rPr>
        <w:t xml:space="preserve"> — a dedicated test account for us in every system to be integrated (CRM, ERP, email, etc.). We never work through real users' accounts.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test environment</w:t>
      </w:r>
      <w:r>
        <w:rPr>
          <w:rFonts w:ascii="Segoe UI" w:hAnsi="Segoe UI"/>
          <w:color w:val="22262E"/>
          <w:sz w:val="21"/>
        </w:rPr>
        <w:t xml:space="preserve"> — sandbox/test instances of the systems where possible. Where none exists, test scenarios run only with agreed safe data.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place to run</w:t>
      </w:r>
      <w:r>
        <w:rPr>
          <w:rFonts w:ascii="Segoe UI" w:hAnsi="Segoe UI"/>
          <w:color w:val="22262E"/>
          <w:sz w:val="21"/>
        </w:rPr>
        <w:t xml:space="preserve"> — where the automation will live: the client's VM (standard spec: see General Rules) or an account on the platform the client already uses (n8n / Make / Power Automate / Zapier — chosen to fit the existing stack). The platform account is opened in the client's name — nothing stays dependent on us.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Build rules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API-first:</w:t>
      </w:r>
      <w:r>
        <w:rPr>
          <w:rFonts w:ascii="Segoe UI" w:hAnsi="Segoe UI"/>
          <w:color w:val="22262E"/>
          <w:sz w:val="21"/>
        </w:rPr>
        <w:t xml:space="preserve"> if a system has an API, we use it; RPA (screen-level automation) only where there is no API — because it breaks when the interface changes.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Error handling is mandatory in every workflow:</w:t>
      </w:r>
      <w:r>
        <w:rPr>
          <w:rFonts w:ascii="Segoe UI" w:hAnsi="Segoe UI"/>
          <w:color w:val="22262E"/>
          <w:sz w:val="21"/>
        </w:rPr>
        <w:t xml:space="preserve"> what happens on failure, who gets notified (email/message), how many retries — all documented.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Kill switch:</w:t>
      </w:r>
      <w:r>
        <w:rPr>
          <w:rFonts w:ascii="Segoe UI" w:hAnsi="Segoe UI"/>
          <w:color w:val="22262E"/>
          <w:sz w:val="21"/>
        </w:rPr>
        <w:t xml:space="preserve"> the client must be able to stop the process themselves at any moment. Its location is shown in the runbook.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The automation </w:t>
      </w:r>
      <w:r>
        <w:rPr>
          <w:rFonts w:ascii="Segoe UI" w:hAnsi="Segoe UI"/>
          <w:b/>
          <w:color w:val="14181F"/>
          <w:sz w:val="21"/>
        </w:rPr>
        <w:t>logs every operation</w:t>
      </w:r>
      <w:r>
        <w:rPr>
          <w:rFonts w:ascii="Segoe UI" w:hAnsi="Segoe UI"/>
          <w:color w:val="22262E"/>
          <w:sz w:val="21"/>
        </w:rPr>
        <w:t xml:space="preserve"> it performs: when, what was done, what the result was. Problems can be traced backwards.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Financial or irreversible operations (payments, deletions, emails to customers) are first built </w:t>
      </w:r>
      <w:r>
        <w:rPr>
          <w:rFonts w:ascii="Segoe UI" w:hAnsi="Segoe UI"/>
          <w:b/>
          <w:color w:val="14181F"/>
          <w:sz w:val="21"/>
        </w:rPr>
        <w:t>with an approval step</w:t>
      </w:r>
      <w:r>
        <w:rPr>
          <w:rFonts w:ascii="Segoe UI" w:hAnsi="Segoe UI"/>
          <w:color w:val="22262E"/>
          <w:sz w:val="21"/>
        </w:rPr>
        <w:t>; fully automatic mode only after the parallel run, with written consent.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The parallel-run rule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The new automation runs alongside the old process for </w:t>
      </w:r>
      <w:r>
        <w:rPr>
          <w:rFonts w:ascii="Segoe UI" w:hAnsi="Segoe UI"/>
          <w:b/>
          <w:color w:val="14181F"/>
          <w:sz w:val="21"/>
        </w:rPr>
        <w:t>at least 2 weeks</w:t>
      </w:r>
      <w:r>
        <w:rPr>
          <w:rFonts w:ascii="Segoe UI" w:hAnsi="Segoe UI"/>
          <w:color w:val="22262E"/>
          <w:sz w:val="21"/>
        </w:rPr>
        <w:t>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Results are compared daily; if they diverge, no cutover happens until the cause is found — the period is extended instead.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old process is untouched during this period — the way back is always open.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Extra handover items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Workflow map: every step, every integration, every notification.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Runbook: stop / restart / resolving typical errors.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Change guide: when one of the systems changes (new field, new version), what to check.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