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DELIVERY RULES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General Delivery Rules (all service areas)</w:t>
      </w:r>
    </w:p>
    <w:p>
      <w:r>
        <w:rPr>
          <w:rFonts w:ascii="Segoe UI" w:hAnsi="Segoe UI"/>
          <w:color w:val="22262E"/>
          <w:sz w:val="21"/>
        </w:rPr>
        <w:t>This document applies to every project. Area-specific rules live in separate files. Everything here is agreed with the client at kickoff, and changes only with written approval.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1. Principles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Least privilege</w:t>
      </w:r>
      <w:r>
        <w:rPr>
          <w:rFonts w:ascii="Segoe UI" w:hAnsi="Segoe UI"/>
          <w:color w:val="22262E"/>
          <w:sz w:val="21"/>
        </w:rPr>
        <w:t xml:space="preserve"> — access only to the systems needed, at the minimum level.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Staging-first</w:t>
      </w:r>
      <w:r>
        <w:rPr>
          <w:rFonts w:ascii="Segoe UI" w:hAnsi="Segoe UI"/>
          <w:color w:val="22262E"/>
          <w:sz w:val="21"/>
        </w:rPr>
        <w:t xml:space="preserve"> — no direct changes in production; test environment first.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Written trail</w:t>
      </w:r>
      <w:r>
        <w:rPr>
          <w:rFonts w:ascii="Segoe UI" w:hAnsi="Segoe UI"/>
          <w:color w:val="22262E"/>
          <w:sz w:val="21"/>
        </w:rPr>
        <w:t xml:space="preserve"> — every decision and agreement is confirmed by email. A verbal agreement is not an agreement.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Confidentiality</w:t>
      </w:r>
      <w:r>
        <w:rPr>
          <w:rFonts w:ascii="Segoe UI" w:hAnsi="Segoe UI"/>
          <w:color w:val="22262E"/>
          <w:sz w:val="21"/>
        </w:rPr>
        <w:t xml:space="preserve"> — client information is never shared with third parties; an NDA can be signed at any stage.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We stay until it fully works</w:t>
      </w:r>
      <w:r>
        <w:rPr>
          <w:rFonts w:ascii="Segoe UI" w:hAnsi="Segoe UI"/>
          <w:color w:val="22262E"/>
          <w:sz w:val="21"/>
        </w:rPr>
        <w:t xml:space="preserve"> — handover only after stabilization.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2. Communication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One point of contact (POC)</w:t>
      </w:r>
      <w:r>
        <w:rPr>
          <w:rFonts w:ascii="Segoe UI" w:hAnsi="Segoe UI"/>
          <w:color w:val="22262E"/>
          <w:sz w:val="21"/>
        </w:rPr>
        <w:t xml:space="preserve"> is named on each side — all questions flow through them.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Channels: email (formal decisions), video calls (Google Meet / Zoom), Slack / Teams for day-to-day if the client prefers.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Weekly status:</w:t>
      </w:r>
      <w:r>
        <w:rPr>
          <w:rFonts w:ascii="Segoe UI" w:hAnsi="Segoe UI"/>
          <w:color w:val="22262E"/>
          <w:sz w:val="21"/>
        </w:rPr>
        <w:t xml:space="preserve"> a fixed day/time. Format: what was done, what is being done, what is blocking. Never longer than 15–30 minutes.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Our response times: routine question — 1 business day; blocking issue — 4 business hours.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3. Access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We never ask for the password of a client's personal or admin account.</w:t>
      </w:r>
      <w:r>
        <w:rPr>
          <w:rFonts w:ascii="Segoe UI" w:hAnsi="Segoe UI"/>
          <w:color w:val="22262E"/>
          <w:sz w:val="21"/>
        </w:rPr>
        <w:t xml:space="preserve"> Named accounts are created for us (`firstname.lastname@ / -aivanta` style) or a single service account.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MFA must be enabled</w:t>
      </w:r>
      <w:r>
        <w:rPr>
          <w:rFonts w:ascii="Segoe UI" w:hAnsi="Segoe UI"/>
          <w:color w:val="22262E"/>
          <w:sz w:val="21"/>
        </w:rPr>
        <w:t xml:space="preserve"> on all accounts; access goes through a VPN where possible.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Access is granted </w:t>
      </w:r>
      <w:r>
        <w:rPr>
          <w:rFonts w:ascii="Segoe UI" w:hAnsi="Segoe UI"/>
          <w:b/>
          <w:color w:val="14181F"/>
          <w:sz w:val="21"/>
        </w:rPr>
        <w:t>for a limited term — 30 days by default.</w:t>
      </w:r>
      <w:r>
        <w:rPr>
          <w:rFonts w:ascii="Segoe UI" w:hAnsi="Segoe UI"/>
          <w:color w:val="22262E"/>
          <w:sz w:val="21"/>
        </w:rPr>
        <w:t xml:space="preserve"> For ongoing projects, an extension email is sent at the end of each month (who, which access, why, for how long). That email is the record for both sides.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 single register of all access is kept for the life of the project: person, system, level, granted/expiry date.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At project end, </w:t>
      </w:r>
      <w:r>
        <w:rPr>
          <w:rFonts w:ascii="Segoe UI" w:hAnsi="Segoe UI"/>
          <w:b/>
          <w:color w:val="14181F"/>
          <w:sz w:val="21"/>
        </w:rPr>
        <w:t>offboarding:</w:t>
      </w:r>
      <w:r>
        <w:rPr>
          <w:rFonts w:ascii="Segoe UI" w:hAnsi="Segoe UI"/>
          <w:color w:val="22262E"/>
          <w:sz w:val="21"/>
        </w:rPr>
        <w:t xml:space="preserve"> every access on the register is revoked, and the revocation is confirmed in the handover document.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4. Working environment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Standard request — </w:t>
      </w:r>
      <w:r>
        <w:rPr>
          <w:rFonts w:ascii="Segoe UI" w:hAnsi="Segoe UI"/>
          <w:b/>
          <w:color w:val="14181F"/>
          <w:sz w:val="21"/>
        </w:rPr>
        <w:t>one dedicated VM</w:t>
      </w:r>
      <w:r>
        <w:rPr>
          <w:rFonts w:ascii="Segoe UI" w:hAnsi="Segoe UI"/>
          <w:color w:val="22262E"/>
          <w:sz w:val="21"/>
        </w:rPr>
        <w:t xml:space="preserve"> from the client for our work: minimum 4 vCPU / 16 GB RAM / 100 GB SSD, Ubuntu 22.04 LTS (or the client's own OS standard). Area-specific requirements (e.g. GPU for AI) are listed in the area documents.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VM access </w:t>
      </w:r>
      <w:r>
        <w:rPr>
          <w:rFonts w:ascii="Segoe UI" w:hAnsi="Segoe UI"/>
          <w:b/>
          <w:color w:val="14181F"/>
          <w:sz w:val="21"/>
        </w:rPr>
        <w:t>by SSH key only</w:t>
      </w:r>
      <w:r>
        <w:rPr>
          <w:rFonts w:ascii="Segoe UI" w:hAnsi="Segoe UI"/>
          <w:color w:val="22262E"/>
          <w:sz w:val="21"/>
        </w:rPr>
        <w:t xml:space="preserve"> (no passwords), behind an IP allowlist or VPN.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If the client is in the cloud (AWS / Azure / GCP): a separate project / resource group instead of a VM + scoped IAM roles for us. Costs stay on the client's account — they keep full visibility.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Production work happens only in a planned deployment window, with a rollback plan ready.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5. Data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Transfer </w:t>
      </w:r>
      <w:r>
        <w:rPr>
          <w:rFonts w:ascii="Segoe UI" w:hAnsi="Segoe UI"/>
          <w:b/>
          <w:color w:val="14181F"/>
          <w:sz w:val="21"/>
        </w:rPr>
        <w:t>only over encrypted channels:</w:t>
      </w:r>
      <w:r>
        <w:rPr>
          <w:rFonts w:ascii="Segoe UI" w:hAnsi="Segoe UI"/>
          <w:color w:val="22262E"/>
          <w:sz w:val="21"/>
        </w:rPr>
        <w:t xml:space="preserve"> SFTP, the client's cloud storage (a bucket/folder shared with us), or a time-limited encrypted link. </w:t>
      </w:r>
      <w:r>
        <w:rPr>
          <w:rFonts w:ascii="Segoe UI" w:hAnsi="Segoe UI"/>
          <w:b/>
          <w:color w:val="14181F"/>
          <w:sz w:val="21"/>
        </w:rPr>
        <w:t>Data is never sent by email.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Wherever possible we work with </w:t>
      </w:r>
      <w:r>
        <w:rPr>
          <w:rFonts w:ascii="Segoe UI" w:hAnsi="Segoe UI"/>
          <w:b/>
          <w:color w:val="14181F"/>
          <w:sz w:val="21"/>
        </w:rPr>
        <w:t>anonymized / masked data.</w:t>
      </w:r>
      <w:r>
        <w:rPr>
          <w:rFonts w:ascii="Segoe UI" w:hAnsi="Segoe UI"/>
          <w:color w:val="22262E"/>
          <w:sz w:val="21"/>
        </w:rPr>
        <w:t xml:space="preserve"> Production data only when strictly necessary, with written consent.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Data lives only in the project environment — never copied to personal computers.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After the project ends, </w:t>
      </w:r>
      <w:r>
        <w:rPr>
          <w:rFonts w:ascii="Segoe UI" w:hAnsi="Segoe UI"/>
          <w:b/>
          <w:color w:val="14181F"/>
          <w:sz w:val="21"/>
        </w:rPr>
        <w:t>data is deleted within 30 days</w:t>
      </w:r>
      <w:r>
        <w:rPr>
          <w:rFonts w:ascii="Segoe UI" w:hAnsi="Segoe UI"/>
          <w:color w:val="22262E"/>
          <w:sz w:val="21"/>
        </w:rPr>
        <w:t xml:space="preserve"> and a deletion confirmation is emailed (unless the agreement specifies otherwise).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6. Scope and changes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 new request = </w:t>
      </w:r>
      <w:r>
        <w:rPr>
          <w:rFonts w:ascii="Segoe UI" w:hAnsi="Segoe UI"/>
          <w:b/>
          <w:color w:val="14181F"/>
          <w:sz w:val="21"/>
        </w:rPr>
        <w:t>a change request:</w:t>
      </w:r>
      <w:r>
        <w:rPr>
          <w:rFonts w:ascii="Segoe UI" w:hAnsi="Segoe UI"/>
          <w:color w:val="22262E"/>
          <w:sz w:val="21"/>
        </w:rPr>
        <w:t xml:space="preserve"> written by email, effort and schedule impact estimated, added to the plan after approval.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"It's tiny, let's just add it now" — does not exist. Even a small-looking change is recorded; its estimation is simply fast.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7. Incident handling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If something we built breaks: </w:t>
      </w:r>
      <w:r>
        <w:rPr>
          <w:rFonts w:ascii="Segoe UI" w:hAnsi="Segoe UI"/>
          <w:b/>
          <w:color w:val="14181F"/>
          <w:sz w:val="21"/>
        </w:rPr>
        <w:t>critical (system down) — response within 4 hours; everything else — 1 business day.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 rollback plan exists before every deploy; in a critical incident we roll back first, investigate second.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After an incident, a short post-mortem: what happened, why, and what was done so it doesn't repeat.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8. Handover package (identical on every project)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1.  </w:t>
      </w:r>
      <w:r>
        <w:rPr>
          <w:rFonts w:ascii="Segoe UI" w:hAnsi="Segoe UI"/>
          <w:color w:val="22262E"/>
          <w:sz w:val="21"/>
        </w:rPr>
        <w:t>Architecture diagram and configuration document.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2.  </w:t>
      </w:r>
      <w:r>
        <w:rPr>
          <w:rFonts w:ascii="Segoe UI" w:hAnsi="Segoe UI"/>
          <w:b/>
          <w:color w:val="14181F"/>
          <w:sz w:val="21"/>
        </w:rPr>
        <w:t>Runbook</w:t>
      </w:r>
      <w:r>
        <w:rPr>
          <w:rFonts w:ascii="Segoe UI" w:hAnsi="Segoe UI"/>
          <w:color w:val="22262E"/>
          <w:sz w:val="21"/>
        </w:rPr>
        <w:t xml:space="preserve"> — how to start/stop the system, typical problems and their fixes, who to contact.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3.  </w:t>
      </w:r>
      <w:r>
        <w:rPr>
          <w:rFonts w:ascii="Segoe UI" w:hAnsi="Segoe UI"/>
          <w:color w:val="22262E"/>
          <w:sz w:val="21"/>
        </w:rPr>
        <w:t>Secure transfer of secrets/passwords (password manager or encrypted channel — never in plain text).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4.  </w:t>
      </w:r>
      <w:r>
        <w:rPr>
          <w:rFonts w:ascii="Segoe UI" w:hAnsi="Segoe UI"/>
          <w:color w:val="22262E"/>
          <w:sz w:val="21"/>
        </w:rPr>
        <w:t>Training session (1–2 hours, recorded).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5.  </w:t>
      </w:r>
      <w:r>
        <w:rPr>
          <w:rFonts w:ascii="Segoe UI" w:hAnsi="Segoe UI"/>
          <w:color w:val="22262E"/>
          <w:sz w:val="21"/>
        </w:rPr>
        <w:t>Access revocation + data deletion confirmation.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6.  </w:t>
      </w:r>
      <w:r>
        <w:rPr>
          <w:rFonts w:ascii="Segoe UI" w:hAnsi="Segoe UI"/>
          <w:color w:val="22262E"/>
          <w:sz w:val="21"/>
        </w:rPr>
        <w:t>Support terms: what's included, how to reach us, response times.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