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DELIVERY RULES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IT Security — Delivery Rules</w:t>
      </w:r>
    </w:p>
    <w:p>
      <w:r>
        <w:rPr>
          <w:rFonts w:ascii="Segoe UI" w:hAnsi="Segoe UI"/>
          <w:color w:val="22262E"/>
          <w:sz w:val="21"/>
        </w:rPr>
        <w:t>The General Delivery Rules apply here too. Below are the additions specific to security work. Rules are strictest in this area — no exceptions.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Mandatory preconditions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Written authorization (authorization letter):</w:t>
      </w:r>
      <w:r>
        <w:rPr>
          <w:rFonts w:ascii="Segoe UI" w:hAnsi="Segoe UI"/>
          <w:color w:val="22262E"/>
          <w:sz w:val="21"/>
        </w:rPr>
        <w:t xml:space="preserve"> signed by the client's management, with the exact scope list attached (IPs, domains, applications). </w:t>
      </w:r>
      <w:r>
        <w:rPr>
          <w:rFonts w:ascii="Segoe UI" w:hAnsi="Segoe UI"/>
          <w:b/>
          <w:color w:val="14181F"/>
          <w:sz w:val="21"/>
        </w:rPr>
        <w:t>Without this document no testing starts — not even a port scan.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If systems are hosted by third parties (hosting, SaaS), the client confirms in writing that the third party's testing rules are satisfied (e.g. the cloud provider's pentest policy).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Emergency contacts:</w:t>
      </w:r>
      <w:r>
        <w:rPr>
          <w:rFonts w:ascii="Segoe UI" w:hAnsi="Segoe UI"/>
          <w:color w:val="22262E"/>
          <w:sz w:val="21"/>
        </w:rPr>
        <w:t xml:space="preserve"> a 24/7 phone number on each side. If anything unexpected happens during testing — immediate call + testing stops.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Testing rules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Tests run only in the </w:t>
      </w:r>
      <w:r>
        <w:rPr>
          <w:rFonts w:ascii="Segoe UI" w:hAnsi="Segoe UI"/>
          <w:b/>
          <w:color w:val="14181F"/>
          <w:sz w:val="21"/>
        </w:rPr>
        <w:t>agreed windows</w:t>
      </w:r>
      <w:r>
        <w:rPr>
          <w:rFonts w:ascii="Segoe UI" w:hAnsi="Segoe UI"/>
          <w:color w:val="22262E"/>
          <w:sz w:val="21"/>
        </w:rPr>
        <w:t xml:space="preserve"> (usually outside business hours). Nothing runs outside a window.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Nothing outside the scope is touched</w:t>
      </w:r>
      <w:r>
        <w:rPr>
          <w:rFonts w:ascii="Segoe UI" w:hAnsi="Segoe UI"/>
          <w:color w:val="22262E"/>
          <w:sz w:val="21"/>
        </w:rPr>
        <w:t xml:space="preserve"> — even if it looks interesting mid-test. Scope expands only with new written authorization.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Tests that could cause a service outage (DoS-like, brute force, etc.) run only with separate explicit consent.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 discovered vulnerability is used only minimally, to prove it exists — no data exfiltration, no system changes, no backdoors.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Everything obtained during testing (screenshots, logs, data samples) stays in the project environment and is deleted after the report.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Findings and reporting rules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Critical vulnerability → direct notice within 24 hours.</w:t>
      </w:r>
      <w:r>
        <w:rPr>
          <w:rFonts w:ascii="Segoe UI" w:hAnsi="Segoe UI"/>
          <w:color w:val="22262E"/>
          <w:sz w:val="21"/>
        </w:rPr>
        <w:t xml:space="preserve"> We do not wait for the report; the client gets the chance to close it immediately.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Report format: for each finding — severity (Critical/High/Medium/Low), description, evidence, business risk, a concrete remediation step. A non-technical executive summary on top.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Reports and findings travel </w:t>
      </w:r>
      <w:r>
        <w:rPr>
          <w:rFonts w:ascii="Segoe UI" w:hAnsi="Segoe UI"/>
          <w:b/>
          <w:color w:val="14181F"/>
          <w:sz w:val="21"/>
        </w:rPr>
        <w:t>only over encrypted channels</w:t>
      </w:r>
      <w:r>
        <w:rPr>
          <w:rFonts w:ascii="Segoe UI" w:hAnsi="Segoe UI"/>
          <w:color w:val="22262E"/>
          <w:sz w:val="21"/>
        </w:rPr>
        <w:t xml:space="preserve"> — never as a plain email attachment.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report goes only to the people the client designates; on our side, only the project team sees it.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Remediation and retest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Remediation may sit with the client or with us — the agreement says which. Either way we support questions throughout.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One retest is included at no extra charge</w:t>
      </w:r>
      <w:r>
        <w:rPr>
          <w:rFonts w:ascii="Segoe UI" w:hAnsi="Segoe UI"/>
          <w:color w:val="22262E"/>
          <w:sz w:val="21"/>
        </w:rPr>
        <w:t>; its results appear in the final report as closed / partial / open per finding.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For the continuous monitoring service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list of connected log sources and the retention period are documented.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Escalation matrix:</w:t>
      </w:r>
      <w:r>
        <w:rPr>
          <w:rFonts w:ascii="Segoe UI" w:hAnsi="Segoe UI"/>
          <w:color w:val="22262E"/>
          <w:sz w:val="21"/>
        </w:rPr>
        <w:t xml:space="preserve"> which severity notifies whom, over which channel, within what time (including night hours) — signed off at kickoff.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first 2–4 weeks are a tuning period: false alarms are cleared; alert volume may be above normal during this time.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Monthly report: incidents, trends, recommendations.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Extra handover items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Final report + retest results.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Confirmation that all of our access has been revoked (especially critical in this area).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Recommended next steps (annual retest, monitoring, etc.).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