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A I V A N T A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INTERNAL DOCUMENT · PROJECT ROADMAP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Version 1.0 · July 2026 · AIVanta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IT Security — Project Roadmap</w:t>
      </w:r>
    </w:p>
    <w:p>
      <w:r>
        <w:rPr>
          <w:rFonts w:ascii="Segoe UI" w:hAnsi="Segoe UI"/>
          <w:color w:val="22262E"/>
          <w:sz w:val="21"/>
        </w:rPr>
        <w:t xml:space="preserve">Every step from first contact to handover. The iron rule: </w:t>
      </w:r>
      <w:r>
        <w:rPr>
          <w:rFonts w:ascii="Segoe UI" w:hAnsi="Segoe UI"/>
          <w:b/>
          <w:color w:val="14181F"/>
          <w:sz w:val="21"/>
        </w:rPr>
        <w:t>no testing starts without written authorization</w:t>
      </w:r>
      <w:r>
        <w:rPr>
          <w:rFonts w:ascii="Segoe UI" w:hAnsi="Segoe UI"/>
          <w:color w:val="22262E"/>
          <w:sz w:val="21"/>
        </w:rPr>
        <w:t xml:space="preserve"> — not even a basic scan.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Outcome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Inquiry &amp; response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1–2 business days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Meeting time scheduled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Discovery call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30–45 min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Need is clear (audit / pentest / monitoring)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Scope &amp; written authorization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2–4 business days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Signed authorization + scope list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3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Proposal &amp; agreement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2–3 business days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Methodology, timeline, price signed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4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Kickoff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2–3 days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Test windows, emergency contacts agreed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5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Execution (assessment)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1–3 weeks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Testing completed within scope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6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Report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3–5 business days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Findings by severity + remediation steps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7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Remediation support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per plan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Vulnerabilities closed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8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Retest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2–5 business days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Fixes verified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9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Final report &amp; handover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1–2 days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Clean status, access revoked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The steps</w:t>
      </w:r>
    </w:p>
    <w:p>
      <w:r>
        <w:rPr>
          <w:rFonts w:ascii="Segoe UI" w:hAnsi="Segoe UI"/>
          <w:b/>
          <w:color w:val="14181F"/>
          <w:sz w:val="21"/>
        </w:rPr>
        <w:t>0. Inquiry &amp; response.</w:t>
      </w:r>
      <w:r>
        <w:rPr>
          <w:rFonts w:ascii="Segoe UI" w:hAnsi="Segoe UI"/>
          <w:color w:val="22262E"/>
          <w:sz w:val="21"/>
        </w:rPr>
        <w:t xml:space="preserve"> We reply within 1–2 business days and schedule the first meeting.</w:t>
      </w:r>
    </w:p>
    <w:p>
      <w:r>
        <w:rPr>
          <w:rFonts w:ascii="Segoe UI" w:hAnsi="Segoe UI"/>
          <w:b/>
          <w:color w:val="14181F"/>
          <w:sz w:val="21"/>
        </w:rPr>
        <w:t>1. Discovery call.</w:t>
      </w:r>
      <w:r>
        <w:rPr>
          <w:rFonts w:ascii="Segoe UI" w:hAnsi="Segoe UI"/>
          <w:color w:val="22262E"/>
          <w:sz w:val="21"/>
        </w:rPr>
        <w:t xml:space="preserve"> What is needed: a security audit, a penetration test, compliance preparation, or continuous monitoring? We get the overall picture of the environment. The NDA is usually signed right here.</w:t>
      </w:r>
    </w:p>
    <w:p>
      <w:r>
        <w:rPr>
          <w:rFonts w:ascii="Segoe UI" w:hAnsi="Segoe UI"/>
          <w:b/>
          <w:color w:val="14181F"/>
          <w:sz w:val="21"/>
        </w:rPr>
        <w:t>2. Scope &amp; written authorization.</w:t>
      </w:r>
      <w:r>
        <w:rPr>
          <w:rFonts w:ascii="Segoe UI" w:hAnsi="Segoe UI"/>
          <w:color w:val="22262E"/>
          <w:sz w:val="21"/>
        </w:rPr>
        <w:t xml:space="preserve"> An exact list of what will be tested (IPs, domains, applications). </w:t>
      </w:r>
      <w:r>
        <w:rPr>
          <w:rFonts w:ascii="Segoe UI" w:hAnsi="Segoe UI"/>
          <w:b/>
          <w:color w:val="14181F"/>
          <w:sz w:val="21"/>
        </w:rPr>
        <w:t>Written authorization from the client's management</w:t>
      </w:r>
      <w:r>
        <w:rPr>
          <w:rFonts w:ascii="Segoe UI" w:hAnsi="Segoe UI"/>
          <w:color w:val="22262E"/>
          <w:sz w:val="21"/>
        </w:rPr>
        <w:t xml:space="preserve"> is obtained. Nothing outside the scope is touched.</w:t>
      </w:r>
    </w:p>
    <w:p>
      <w:r>
        <w:rPr>
          <w:rFonts w:ascii="Segoe UI" w:hAnsi="Segoe UI"/>
          <w:b/>
          <w:color w:val="14181F"/>
          <w:sz w:val="21"/>
        </w:rPr>
        <w:t>3. Proposal &amp; agreement.</w:t>
      </w:r>
      <w:r>
        <w:rPr>
          <w:rFonts w:ascii="Segoe UI" w:hAnsi="Segoe UI"/>
          <w:color w:val="22262E"/>
          <w:sz w:val="21"/>
        </w:rPr>
        <w:t xml:space="preserve"> Methodology, test types, timeline, price, report format. Tests that could cause a service outage enter the scope only with separate, explicit consent.</w:t>
      </w:r>
    </w:p>
    <w:p>
      <w:r>
        <w:rPr>
          <w:rFonts w:ascii="Segoe UI" w:hAnsi="Segoe UI"/>
          <w:b/>
          <w:color w:val="14181F"/>
          <w:sz w:val="21"/>
        </w:rPr>
        <w:t>4. Kickoff.</w:t>
      </w:r>
      <w:r>
        <w:rPr>
          <w:rFonts w:ascii="Segoe UI" w:hAnsi="Segoe UI"/>
          <w:color w:val="22262E"/>
          <w:sz w:val="21"/>
        </w:rPr>
        <w:t xml:space="preserve"> Test windows (usually outside business hours), 24/7 emergency phone contacts on both sides, and a stop procedure are agreed. Rules: see "Delivery Rules — IT Security".</w:t>
      </w:r>
    </w:p>
    <w:p>
      <w:r>
        <w:rPr>
          <w:rFonts w:ascii="Segoe UI" w:hAnsi="Segoe UI"/>
          <w:b/>
          <w:color w:val="14181F"/>
          <w:sz w:val="21"/>
        </w:rPr>
        <w:t>5. Execution.</w:t>
      </w:r>
      <w:r>
        <w:rPr>
          <w:rFonts w:ascii="Segoe UI" w:hAnsi="Segoe UI"/>
          <w:color w:val="22262E"/>
          <w:sz w:val="21"/>
        </w:rPr>
        <w:t xml:space="preserve"> Testing proceeds within the agreed scope and windows. </w:t>
      </w:r>
      <w:r>
        <w:rPr>
          <w:rFonts w:ascii="Segoe UI" w:hAnsi="Segoe UI"/>
          <w:b/>
          <w:color w:val="14181F"/>
          <w:sz w:val="21"/>
        </w:rPr>
        <w:t>A critical vulnerability is reported directly within 24 hours — we do not wait for the report.</w:t>
      </w:r>
    </w:p>
    <w:p>
      <w:r>
        <w:rPr>
          <w:rFonts w:ascii="Segoe UI" w:hAnsi="Segoe UI"/>
          <w:b/>
          <w:color w:val="14181F"/>
          <w:sz w:val="21"/>
        </w:rPr>
        <w:t>6. Report.</w:t>
      </w:r>
      <w:r>
        <w:rPr>
          <w:rFonts w:ascii="Segoe UI" w:hAnsi="Segoe UI"/>
          <w:color w:val="22262E"/>
          <w:sz w:val="21"/>
        </w:rPr>
        <w:t xml:space="preserve"> Findings ranked Critical / High / Medium / Low, each with: description, evidence, business risk, and a concrete remediation step. A non-technical executive summary on top. Delivered only over an encrypted channel.</w:t>
      </w:r>
    </w:p>
    <w:p>
      <w:r>
        <w:rPr>
          <w:rFonts w:ascii="Segoe UI" w:hAnsi="Segoe UI"/>
          <w:b/>
          <w:color w:val="14181F"/>
          <w:sz w:val="21"/>
        </w:rPr>
        <w:t>7. Remediation support.</w:t>
      </w:r>
      <w:r>
        <w:rPr>
          <w:rFonts w:ascii="Segoe UI" w:hAnsi="Segoe UI"/>
          <w:color w:val="22262E"/>
          <w:sz w:val="21"/>
        </w:rPr>
        <w:t xml:space="preserve"> The client fixes, or we fix — per the agreement. Either way, we keep answering questions throughout.</w:t>
      </w:r>
    </w:p>
    <w:p>
      <w:r>
        <w:rPr>
          <w:rFonts w:ascii="Segoe UI" w:hAnsi="Segoe UI"/>
          <w:b/>
          <w:color w:val="14181F"/>
          <w:sz w:val="21"/>
        </w:rPr>
        <w:t>8. Retest.</w:t>
      </w:r>
      <w:r>
        <w:rPr>
          <w:rFonts w:ascii="Segoe UI" w:hAnsi="Segoe UI"/>
          <w:color w:val="22262E"/>
          <w:sz w:val="21"/>
        </w:rPr>
        <w:t xml:space="preserve"> Closed vulnerabilities are re-verified. One retest is included at no extra charge.</w:t>
      </w:r>
    </w:p>
    <w:p>
      <w:r>
        <w:rPr>
          <w:rFonts w:ascii="Segoe UI" w:hAnsi="Segoe UI"/>
          <w:b/>
          <w:color w:val="14181F"/>
          <w:sz w:val="21"/>
        </w:rPr>
        <w:t>9. Final report &amp; handover.</w:t>
      </w:r>
      <w:r>
        <w:rPr>
          <w:rFonts w:ascii="Segoe UI" w:hAnsi="Segoe UI"/>
          <w:color w:val="22262E"/>
          <w:sz w:val="21"/>
        </w:rPr>
        <w:t xml:space="preserve"> Clean status is documented, all of our access is revoked and the revocation is confirmed in the handover document. </w:t>
      </w:r>
      <w:r>
        <w:rPr>
          <w:rFonts w:ascii="Segoe UI" w:hAnsi="Segoe UI"/>
          <w:b/>
          <w:color w:val="14181F"/>
          <w:sz w:val="21"/>
        </w:rPr>
        <w:t>We do not close the engagement until we are certain the vulnerabilities are actually closed.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Addendum for the continuous monitoring service</w:t>
      </w:r>
    </w:p>
    <w:p>
      <w:r>
        <w:rPr>
          <w:rFonts w:ascii="Segoe UI" w:hAnsi="Segoe UI"/>
          <w:color w:val="22262E"/>
          <w:sz w:val="21"/>
        </w:rPr>
        <w:t>If monitoring is ordered, stages 5–9 become: connecting log sources → 2–4 weeks of tuning (clearing false alarms) → escalation matrix sign-off → switch to 24/7 operation → monthly reports.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46" w:val="right"/>
      </w:tabs>
    </w:pPr>
    <w:r/>
    <w:r>
      <w:rPr>
        <w:rFonts w:ascii="Segoe UI" w:hAnsi="Segoe UI"/>
        <w:color w:val="8A919C"/>
        <w:sz w:val="16"/>
      </w:rPr>
      <w:t>AIVanta Inc. — Internal use only</w:t>
      <w:tab/>
    </w:r>
    <w:r>
      <w:rPr>
        <w:rFonts w:ascii="Segoe UI" w:hAnsi="Segoe UI"/>
        <w:color w:val="8A919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Segoe UI" w:hAnsi="Segoe UI"/>
      <w:color w:val="2226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