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4"/>
      </w:pPr>
      <w:r>
        <w:rPr>
          <w:rFonts w:ascii="Times New Roman" w:hAnsi="Times New Roman" w:eastAsia="Times New Roman"/>
          <w:b/>
          <w:i w:val="0"/>
          <w:sz w:val="24"/>
        </w:rPr>
        <w:t>Modules</w:t>
      </w:r>
    </w:p>
    <w:p>
      <w:pPr>
        <w:spacing w:after="80"/>
      </w:pPr>
      <w:r>
        <w:rPr>
          <w:rFonts w:ascii="Times New Roman" w:hAnsi="Times New Roman" w:eastAsia="Times New Roman"/>
          <w:b/>
          <w:i w:val="0"/>
          <w:sz w:val="24"/>
        </w:rPr>
        <w:t>Table 3.27: AgentMeter Modules</w:t>
      </w:r>
    </w:p>
    <w:tbl>
      <w:tblP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306" w:type="dxa"/>
      </w:tblPr>
      <w:tblGrid>
        <w:gridCol w:w="787"/>
        <w:gridCol w:w="1923"/>
        <w:gridCol w:w="5596"/>
      </w:tblGrid>
      <w:tr>
        <w:trPr>
          <w:tblHeader w:val="true"/>
        </w:trPr>
        <w:tc>
          <w:tcPr>
            <w:tcW w:type="dxa" w:w="787"/>
            <w:shd w:val="clear" w:color="auto" w:fill="D9D9D9"/>
          </w:tcPr>
          <w:p>
            <w:pPr>
              <w:spacing w:after="0" w:line="264" w:lineRule="auto"/>
            </w:pPr>
            <w:r>
              <w:rPr>
                <w:rFonts w:ascii="Times New Roman" w:hAnsi="Times New Roman" w:eastAsia="Times New Roman"/>
                <w:b/>
                <w:i w:val="0"/>
                <w:sz w:val="24"/>
              </w:rPr>
              <w:t>No.</w:t>
            </w:r>
          </w:p>
        </w:tc>
        <w:tc>
          <w:tcPr>
            <w:tcW w:type="dxa" w:w="1923"/>
            <w:shd w:val="clear" w:color="auto" w:fill="D9D9D9"/>
          </w:tcPr>
          <w:p>
            <w:pPr>
              <w:spacing w:after="0" w:line="264" w:lineRule="auto"/>
            </w:pPr>
            <w:r>
              <w:rPr>
                <w:rFonts w:ascii="Times New Roman" w:hAnsi="Times New Roman" w:eastAsia="Times New Roman"/>
                <w:b/>
                <w:i w:val="0"/>
                <w:sz w:val="24"/>
              </w:rPr>
              <w:t>Module</w:t>
            </w:r>
          </w:p>
        </w:tc>
        <w:tc>
          <w:tcPr>
            <w:tcW w:type="dxa" w:w="5596"/>
            <w:shd w:val="clear" w:color="auto" w:fill="D9D9D9"/>
          </w:tcPr>
          <w:p>
            <w:pPr>
              <w:spacing w:after="0" w:line="264" w:lineRule="auto"/>
            </w:pPr>
            <w:r>
              <w:rPr>
                <w:rFonts w:ascii="Times New Roman" w:hAnsi="Times New Roman" w:eastAsia="Times New Roman"/>
                <w:b/>
                <w:i w:val="0"/>
                <w:sz w:val="24"/>
              </w:rPr>
              <w:t>Description</w:t>
            </w:r>
          </w:p>
        </w:tc>
      </w:tr>
      <w:tr>
        <w:tc>
          <w:tcPr>
            <w:tcW w:type="dxa" w:w="787"/>
          </w:tcPr>
          <w:p>
            <w:pPr>
              <w:spacing w:after="0" w:line="264" w:lineRule="auto"/>
            </w:pPr>
            <w:r>
              <w:rPr>
                <w:rFonts w:ascii="Times New Roman" w:hAnsi="Times New Roman" w:eastAsia="Times New Roman"/>
                <w:b w:val="0"/>
                <w:i w:val="0"/>
                <w:sz w:val="24"/>
              </w:rPr>
              <w:t>M01</w:t>
            </w:r>
          </w:p>
        </w:tc>
        <w:tc>
          <w:tcPr>
            <w:tcW w:type="dxa" w:w="1923"/>
          </w:tcPr>
          <w:p>
            <w:pPr>
              <w:spacing w:after="0" w:line="264" w:lineRule="auto"/>
            </w:pPr>
            <w:r>
              <w:rPr>
                <w:rFonts w:ascii="Times New Roman" w:hAnsi="Times New Roman" w:eastAsia="Times New Roman"/>
                <w:b w:val="0"/>
                <w:i w:val="0"/>
                <w:sz w:val="24"/>
              </w:rPr>
              <w:t>User Authentication &amp; Security</w:t>
            </w:r>
          </w:p>
        </w:tc>
        <w:tc>
          <w:tcPr>
            <w:tcW w:type="dxa" w:w="5596"/>
          </w:tcPr>
          <w:p>
            <w:pPr>
              <w:spacing w:after="0" w:line="264" w:lineRule="auto"/>
            </w:pPr>
            <w:r>
              <w:rPr>
                <w:rFonts w:ascii="Times New Roman" w:hAnsi="Times New Roman" w:eastAsia="Times New Roman"/>
                <w:b w:val="0"/>
                <w:i w:val="0"/>
                <w:sz w:val="24"/>
              </w:rPr>
              <w:t>Lets users log in and log out with a username and password. Passwords are stored only as salted, peppered hashes. Login is blocked for 15 minutes after repeated failed attempts, and a new user must choose their own password at first login. Each device keeps its own login, which the user can see under Logged-in devices and sign out remotely, and an optional setting logs the user out after a period without activity.</w:t>
            </w:r>
          </w:p>
        </w:tc>
      </w:tr>
      <w:tr>
        <w:tc>
          <w:tcPr>
            <w:tcW w:type="dxa" w:w="787"/>
          </w:tcPr>
          <w:p>
            <w:pPr>
              <w:spacing w:after="0" w:line="264" w:lineRule="auto"/>
            </w:pPr>
            <w:r>
              <w:rPr>
                <w:rFonts w:ascii="Times New Roman" w:hAnsi="Times New Roman" w:eastAsia="Times New Roman"/>
                <w:b w:val="0"/>
                <w:i w:val="0"/>
                <w:sz w:val="24"/>
              </w:rPr>
              <w:t>M02</w:t>
            </w:r>
          </w:p>
        </w:tc>
        <w:tc>
          <w:tcPr>
            <w:tcW w:type="dxa" w:w="1923"/>
          </w:tcPr>
          <w:p>
            <w:pPr>
              <w:spacing w:after="0" w:line="264" w:lineRule="auto"/>
            </w:pPr>
            <w:r>
              <w:rPr>
                <w:rFonts w:ascii="Times New Roman" w:hAnsi="Times New Roman" w:eastAsia="Times New Roman"/>
                <w:b w:val="0"/>
                <w:i w:val="0"/>
                <w:sz w:val="24"/>
              </w:rPr>
              <w:t>Home Dashboard</w:t>
            </w:r>
          </w:p>
        </w:tc>
        <w:tc>
          <w:tcPr>
            <w:tcW w:type="dxa" w:w="5596"/>
          </w:tcPr>
          <w:p>
            <w:pPr>
              <w:spacing w:after="0" w:line="264" w:lineRule="auto"/>
            </w:pPr>
            <w:r>
              <w:rPr>
                <w:rFonts w:ascii="Times New Roman" w:hAnsi="Times New Roman" w:eastAsia="Times New Roman"/>
                <w:b w:val="0"/>
                <w:i w:val="0"/>
                <w:sz w:val="24"/>
              </w:rPr>
              <w:t>Shows the user's latest session, a list of recent sessions and whether the GPU server is online, with a quick link to start a new benchmark.</w:t>
            </w:r>
          </w:p>
        </w:tc>
      </w:tr>
      <w:tr>
        <w:tc>
          <w:tcPr>
            <w:tcW w:type="dxa" w:w="787"/>
          </w:tcPr>
          <w:p>
            <w:pPr>
              <w:spacing w:after="0" w:line="264" w:lineRule="auto"/>
            </w:pPr>
            <w:r>
              <w:rPr>
                <w:rFonts w:ascii="Times New Roman" w:hAnsi="Times New Roman" w:eastAsia="Times New Roman"/>
                <w:b w:val="0"/>
                <w:i w:val="0"/>
                <w:sz w:val="24"/>
              </w:rPr>
              <w:t>M03</w:t>
            </w:r>
          </w:p>
        </w:tc>
        <w:tc>
          <w:tcPr>
            <w:tcW w:type="dxa" w:w="1923"/>
          </w:tcPr>
          <w:p>
            <w:pPr>
              <w:spacing w:after="0" w:line="264" w:lineRule="auto"/>
            </w:pPr>
            <w:r>
              <w:rPr>
                <w:rFonts w:ascii="Times New Roman" w:hAnsi="Times New Roman" w:eastAsia="Times New Roman"/>
                <w:b w:val="0"/>
                <w:i w:val="0"/>
                <w:sz w:val="24"/>
              </w:rPr>
              <w:t>Benchmark Wizard</w:t>
            </w:r>
          </w:p>
        </w:tc>
        <w:tc>
          <w:tcPr>
            <w:tcW w:type="dxa" w:w="5596"/>
          </w:tcPr>
          <w:p>
            <w:pPr>
              <w:spacing w:after="0" w:line="264" w:lineRule="auto"/>
            </w:pPr>
            <w:r>
              <w:rPr>
                <w:rFonts w:ascii="Times New Roman" w:hAnsi="Times New Roman" w:eastAsia="Times New Roman"/>
                <w:b w:val="0"/>
                <w:i w:val="0"/>
                <w:sz w:val="24"/>
              </w:rPr>
              <w:t>Guides the user through a new benchmark in three steps: Data (the dataset to benchmark), Models (the models and the agent pipeline) and Run (review and start). Each step checks its inputs before the user can continue.</w:t>
            </w:r>
          </w:p>
        </w:tc>
      </w:tr>
      <w:tr>
        <w:tc>
          <w:tcPr>
            <w:tcW w:type="dxa" w:w="787"/>
          </w:tcPr>
          <w:p>
            <w:pPr>
              <w:spacing w:after="0" w:line="264" w:lineRule="auto"/>
            </w:pPr>
            <w:r>
              <w:rPr>
                <w:rFonts w:ascii="Times New Roman" w:hAnsi="Times New Roman" w:eastAsia="Times New Roman"/>
                <w:b w:val="0"/>
                <w:i w:val="0"/>
                <w:sz w:val="24"/>
              </w:rPr>
              <w:t>M04</w:t>
            </w:r>
          </w:p>
        </w:tc>
        <w:tc>
          <w:tcPr>
            <w:tcW w:type="dxa" w:w="1923"/>
          </w:tcPr>
          <w:p>
            <w:pPr>
              <w:spacing w:after="0" w:line="264" w:lineRule="auto"/>
            </w:pPr>
            <w:r>
              <w:rPr>
                <w:rFonts w:ascii="Times New Roman" w:hAnsi="Times New Roman" w:eastAsia="Times New Roman"/>
                <w:b w:val="0"/>
                <w:i w:val="0"/>
                <w:sz w:val="24"/>
              </w:rPr>
              <w:t>Dataset Upload &amp; Preparation</w:t>
            </w:r>
          </w:p>
        </w:tc>
        <w:tc>
          <w:tcPr>
            <w:tcW w:type="dxa" w:w="5596"/>
          </w:tcPr>
          <w:p>
            <w:pPr>
              <w:spacing w:after="0" w:line="264" w:lineRule="auto"/>
            </w:pPr>
            <w:r>
              <w:rPr>
                <w:rFonts w:ascii="Times New Roman" w:hAnsi="Times New Roman" w:eastAsia="Times New Roman"/>
                <w:b w:val="0"/>
                <w:i w:val="0"/>
                <w:sz w:val="24"/>
              </w:rPr>
              <w:t>Accepts labelled network traffic as a CSV file of flows, a PCAP packet capture or an HTTPS link to either. The user chooses to prepare the data on their own computer (in the browser) or on the GPU server. Preparation converts packets into flows, isolates the ground-truth labels, samples up to 500 representative flows and fingerprints the result with a SHA-256 hash. Prepared sets are listed under Saved sets and can be downloaded and re-uploaded on another server.</w:t>
            </w:r>
          </w:p>
        </w:tc>
      </w:tr>
      <w:tr>
        <w:tc>
          <w:tcPr>
            <w:tcW w:type="dxa" w:w="787"/>
          </w:tcPr>
          <w:p>
            <w:pPr>
              <w:spacing w:after="0" w:line="264" w:lineRule="auto"/>
            </w:pPr>
            <w:r>
              <w:rPr>
                <w:rFonts w:ascii="Times New Roman" w:hAnsi="Times New Roman" w:eastAsia="Times New Roman"/>
                <w:b w:val="0"/>
                <w:i w:val="0"/>
                <w:sz w:val="24"/>
              </w:rPr>
              <w:t>M05</w:t>
            </w:r>
          </w:p>
        </w:tc>
        <w:tc>
          <w:tcPr>
            <w:tcW w:type="dxa" w:w="1923"/>
          </w:tcPr>
          <w:p>
            <w:pPr>
              <w:spacing w:after="0" w:line="264" w:lineRule="auto"/>
            </w:pPr>
            <w:r>
              <w:rPr>
                <w:rFonts w:ascii="Times New Roman" w:hAnsi="Times New Roman" w:eastAsia="Times New Roman"/>
                <w:b w:val="0"/>
                <w:i w:val="0"/>
                <w:sz w:val="24"/>
              </w:rPr>
              <w:t>Model Catalogue &amp; Selection</w:t>
            </w:r>
          </w:p>
        </w:tc>
        <w:tc>
          <w:tcPr>
            <w:tcW w:type="dxa" w:w="5596"/>
          </w:tcPr>
          <w:p>
            <w:pPr>
              <w:spacing w:after="0" w:line="264" w:lineRule="auto"/>
            </w:pPr>
            <w:r>
              <w:rPr>
                <w:rFonts w:ascii="Times New Roman" w:hAnsi="Times New Roman" w:eastAsia="Times New Roman"/>
                <w:b w:val="0"/>
                <w:i w:val="0"/>
                <w:sz w:val="24"/>
              </w:rPr>
              <w:t>Lists the five study models and the additional catalogue models with their size and context length. Checks that each model can be loaded from its original weights in 4-bit NF4 on the available GPU before it can be chosen. The user selects two to four models per session.</w:t>
            </w:r>
          </w:p>
        </w:tc>
      </w:tr>
      <w:tr>
        <w:tc>
          <w:tcPr>
            <w:tcW w:type="dxa" w:w="787"/>
          </w:tcPr>
          <w:p>
            <w:pPr>
              <w:spacing w:after="0" w:line="264" w:lineRule="auto"/>
            </w:pPr>
            <w:r>
              <w:rPr>
                <w:rFonts w:ascii="Times New Roman" w:hAnsi="Times New Roman" w:eastAsia="Times New Roman"/>
                <w:b w:val="0"/>
                <w:i w:val="0"/>
                <w:sz w:val="24"/>
              </w:rPr>
              <w:t>M06</w:t>
            </w:r>
          </w:p>
        </w:tc>
        <w:tc>
          <w:tcPr>
            <w:tcW w:type="dxa" w:w="1923"/>
          </w:tcPr>
          <w:p>
            <w:pPr>
              <w:spacing w:after="0" w:line="264" w:lineRule="auto"/>
            </w:pPr>
            <w:r>
              <w:rPr>
                <w:rFonts w:ascii="Times New Roman" w:hAnsi="Times New Roman" w:eastAsia="Times New Roman"/>
                <w:b w:val="0"/>
                <w:i w:val="0"/>
                <w:sz w:val="24"/>
              </w:rPr>
              <w:t>Agent Pipeline Configuration</w:t>
            </w:r>
          </w:p>
        </w:tc>
        <w:tc>
          <w:tcPr>
            <w:tcW w:type="dxa" w:w="5596"/>
          </w:tcPr>
          <w:p>
            <w:pPr>
              <w:spacing w:after="0" w:line="264" w:lineRule="auto"/>
            </w:pPr>
            <w:r>
              <w:rPr>
                <w:rFonts w:ascii="Times New Roman" w:hAnsi="Times New Roman" w:eastAsia="Times New Roman"/>
                <w:b w:val="0"/>
                <w:i w:val="0"/>
                <w:sz w:val="24"/>
              </w:rPr>
              <w:t>Shows the agents a session will run (perceive, reason, decide and act by default), lets the user define a custom pipeline with a different number of agents, and sets each agent's output-token budget.</w:t>
            </w:r>
          </w:p>
        </w:tc>
      </w:tr>
      <w:tr>
        <w:tc>
          <w:tcPr>
            <w:tcW w:type="dxa" w:w="787"/>
          </w:tcPr>
          <w:p>
            <w:pPr>
              <w:spacing w:after="0" w:line="264" w:lineRule="auto"/>
            </w:pPr>
            <w:r>
              <w:rPr>
                <w:rFonts w:ascii="Times New Roman" w:hAnsi="Times New Roman" w:eastAsia="Times New Roman"/>
                <w:b w:val="0"/>
                <w:i w:val="0"/>
                <w:sz w:val="24"/>
              </w:rPr>
              <w:t>M07</w:t>
            </w:r>
          </w:p>
        </w:tc>
        <w:tc>
          <w:tcPr>
            <w:tcW w:type="dxa" w:w="1923"/>
          </w:tcPr>
          <w:p>
            <w:pPr>
              <w:spacing w:after="0" w:line="264" w:lineRule="auto"/>
            </w:pPr>
            <w:r>
              <w:rPr>
                <w:rFonts w:ascii="Times New Roman" w:hAnsi="Times New Roman" w:eastAsia="Times New Roman"/>
                <w:b w:val="0"/>
                <w:i w:val="0"/>
                <w:sz w:val="24"/>
              </w:rPr>
              <w:t>Benchmark Execution &amp; Job Queue</w:t>
            </w:r>
          </w:p>
        </w:tc>
        <w:tc>
          <w:tcPr>
            <w:tcW w:type="dxa" w:w="5596"/>
          </w:tcPr>
          <w:p>
            <w:pPr>
              <w:spacing w:after="0" w:line="264" w:lineRule="auto"/>
            </w:pPr>
            <w:r>
              <w:rPr>
                <w:rFonts w:ascii="Times New Roman" w:hAnsi="Times New Roman" w:eastAsia="Times New Roman"/>
                <w:b w:val="0"/>
                <w:i w:val="0"/>
                <w:sz w:val="24"/>
              </w:rPr>
              <w:t>Sends the benchmark to the GPU server, where jobs wait in a first-in, first-out queue so that only one benchmark uses the GPU at a time. The user can stop a running benchmark, and an interrupted benchmark can be resumed without repeating completed flows.</w:t>
            </w:r>
          </w:p>
        </w:tc>
      </w:tr>
      <w:tr>
        <w:tc>
          <w:tcPr>
            <w:tcW w:type="dxa" w:w="787"/>
          </w:tcPr>
          <w:p>
            <w:pPr>
              <w:spacing w:after="0" w:line="264" w:lineRule="auto"/>
            </w:pPr>
            <w:r>
              <w:rPr>
                <w:rFonts w:ascii="Times New Roman" w:hAnsi="Times New Roman" w:eastAsia="Times New Roman"/>
                <w:b w:val="0"/>
                <w:i w:val="0"/>
                <w:sz w:val="24"/>
              </w:rPr>
              <w:t>M08</w:t>
            </w:r>
          </w:p>
        </w:tc>
        <w:tc>
          <w:tcPr>
            <w:tcW w:type="dxa" w:w="1923"/>
          </w:tcPr>
          <w:p>
            <w:pPr>
              <w:spacing w:after="0" w:line="264" w:lineRule="auto"/>
            </w:pPr>
            <w:r>
              <w:rPr>
                <w:rFonts w:ascii="Times New Roman" w:hAnsi="Times New Roman" w:eastAsia="Times New Roman"/>
                <w:b w:val="0"/>
                <w:i w:val="0"/>
                <w:sz w:val="24"/>
              </w:rPr>
              <w:t>Live Telemetry</w:t>
            </w:r>
          </w:p>
        </w:tc>
        <w:tc>
          <w:tcPr>
            <w:tcW w:type="dxa" w:w="5596"/>
          </w:tcPr>
          <w:p>
            <w:pPr>
              <w:spacing w:after="0" w:line="264" w:lineRule="auto"/>
            </w:pPr>
            <w:r>
              <w:rPr>
                <w:rFonts w:ascii="Times New Roman" w:hAnsi="Times New Roman" w:eastAsia="Times New Roman"/>
                <w:b w:val="0"/>
                <w:i w:val="0"/>
                <w:sz w:val="24"/>
              </w:rPr>
              <w:t>Shows a running benchmark as it happens: an event log of each stage (queue, Hugging Face download, 4-bit loading, idle power, each flow, scoring) and live GPU readings (utilisation, memory, board power and temperature) with charts over the run. The panel can be reopened at any time while the benchmark runs.</w:t>
            </w:r>
          </w:p>
        </w:tc>
      </w:tr>
      <w:tr>
        <w:tc>
          <w:tcPr>
            <w:tcW w:type="dxa" w:w="787"/>
          </w:tcPr>
          <w:p>
            <w:pPr>
              <w:spacing w:after="0" w:line="264" w:lineRule="auto"/>
            </w:pPr>
            <w:r>
              <w:rPr>
                <w:rFonts w:ascii="Times New Roman" w:hAnsi="Times New Roman" w:eastAsia="Times New Roman"/>
                <w:b w:val="0"/>
                <w:i w:val="0"/>
                <w:sz w:val="24"/>
              </w:rPr>
              <w:t>M09</w:t>
            </w:r>
          </w:p>
        </w:tc>
        <w:tc>
          <w:tcPr>
            <w:tcW w:type="dxa" w:w="1923"/>
          </w:tcPr>
          <w:p>
            <w:pPr>
              <w:spacing w:after="0" w:line="264" w:lineRule="auto"/>
            </w:pPr>
            <w:r>
              <w:rPr>
                <w:rFonts w:ascii="Times New Roman" w:hAnsi="Times New Roman" w:eastAsia="Times New Roman"/>
                <w:b w:val="0"/>
                <w:i w:val="0"/>
                <w:sz w:val="24"/>
              </w:rPr>
              <w:t>Session Results &amp; Analyses</w:t>
            </w:r>
          </w:p>
        </w:tc>
        <w:tc>
          <w:tcPr>
            <w:tcW w:type="dxa" w:w="5596"/>
          </w:tcPr>
          <w:p>
            <w:pPr>
              <w:spacing w:after="0" w:line="264" w:lineRule="auto"/>
            </w:pPr>
            <w:r>
              <w:rPr>
                <w:rFonts w:ascii="Times New Roman" w:hAnsi="Times New Roman" w:eastAsia="Times New Roman"/>
                <w:b w:val="0"/>
                <w:i w:val="0"/>
                <w:sz w:val="24"/>
              </w:rPr>
              <w:t>Presents a finished session in five tabs. Overview gives the scorecard, key findings and the measured verdict. Reliability covers valid answers, where answers fail and consistency. Performance covers latency, throughput, load scaling and cold start. Agents shows the time, memory and tokens of each agent and a what-if for removing one. Cost covers energy, cost per 1,000 flows and cost per valid answer. Users can add notes and tags and delete a session.</w:t>
            </w:r>
          </w:p>
        </w:tc>
      </w:tr>
      <w:tr>
        <w:tc>
          <w:tcPr>
            <w:tcW w:type="dxa" w:w="787"/>
          </w:tcPr>
          <w:p>
            <w:pPr>
              <w:spacing w:after="0" w:line="264" w:lineRule="auto"/>
            </w:pPr>
            <w:r>
              <w:rPr>
                <w:rFonts w:ascii="Times New Roman" w:hAnsi="Times New Roman" w:eastAsia="Times New Roman"/>
                <w:b w:val="0"/>
                <w:i w:val="0"/>
                <w:sz w:val="24"/>
              </w:rPr>
              <w:t>M10</w:t>
            </w:r>
          </w:p>
        </w:tc>
        <w:tc>
          <w:tcPr>
            <w:tcW w:type="dxa" w:w="1923"/>
          </w:tcPr>
          <w:p>
            <w:pPr>
              <w:spacing w:after="0" w:line="264" w:lineRule="auto"/>
            </w:pPr>
            <w:r>
              <w:rPr>
                <w:rFonts w:ascii="Times New Roman" w:hAnsi="Times New Roman" w:eastAsia="Times New Roman"/>
                <w:b w:val="0"/>
                <w:i w:val="0"/>
                <w:sz w:val="24"/>
              </w:rPr>
              <w:t>Model Comparison &amp; Leaderboard</w:t>
            </w:r>
          </w:p>
        </w:tc>
        <w:tc>
          <w:tcPr>
            <w:tcW w:type="dxa" w:w="5596"/>
          </w:tcPr>
          <w:p>
            <w:pPr>
              <w:spacing w:after="0" w:line="264" w:lineRule="auto"/>
            </w:pPr>
            <w:r>
              <w:rPr>
                <w:rFonts w:ascii="Times New Roman" w:hAnsi="Times New Roman" w:eastAsia="Times New Roman"/>
                <w:b w:val="0"/>
                <w:i w:val="0"/>
                <w:sz w:val="24"/>
              </w:rPr>
              <w:t>Compares the models of sessions run on the same prepared set (the same SHA-256 hash) head to head, and ranks models across all such sessions on a leaderboard, so that only like is compared with like.</w:t>
            </w:r>
          </w:p>
        </w:tc>
      </w:tr>
      <w:tr>
        <w:tc>
          <w:tcPr>
            <w:tcW w:type="dxa" w:w="787"/>
          </w:tcPr>
          <w:p>
            <w:pPr>
              <w:spacing w:after="0" w:line="264" w:lineRule="auto"/>
            </w:pPr>
            <w:r>
              <w:rPr>
                <w:rFonts w:ascii="Times New Roman" w:hAnsi="Times New Roman" w:eastAsia="Times New Roman"/>
                <w:b w:val="0"/>
                <w:i w:val="0"/>
                <w:sz w:val="24"/>
              </w:rPr>
              <w:t>M11</w:t>
            </w:r>
          </w:p>
        </w:tc>
        <w:tc>
          <w:tcPr>
            <w:tcW w:type="dxa" w:w="1923"/>
          </w:tcPr>
          <w:p>
            <w:pPr>
              <w:spacing w:after="0" w:line="264" w:lineRule="auto"/>
            </w:pPr>
            <w:r>
              <w:rPr>
                <w:rFonts w:ascii="Times New Roman" w:hAnsi="Times New Roman" w:eastAsia="Times New Roman"/>
                <w:b w:val="0"/>
                <w:i w:val="0"/>
                <w:sz w:val="24"/>
              </w:rPr>
              <w:t>History, Trends &amp; Scheduled Re-runs</w:t>
            </w:r>
          </w:p>
        </w:tc>
        <w:tc>
          <w:tcPr>
            <w:tcW w:type="dxa" w:w="5596"/>
          </w:tcPr>
          <w:p>
            <w:pPr>
              <w:spacing w:after="0" w:line="264" w:lineRule="auto"/>
            </w:pPr>
            <w:r>
              <w:rPr>
                <w:rFonts w:ascii="Times New Roman" w:hAnsi="Times New Roman" w:eastAsia="Times New Roman"/>
                <w:b w:val="0"/>
                <w:i w:val="0"/>
                <w:sz w:val="24"/>
              </w:rPr>
              <w:t>Follows one model on the same flows, GPU and settings across sessions and flags any run that moved beyond its usual spread. A finished session can be set to repeat on a schedule so these runs are collected automatically.</w:t>
            </w:r>
          </w:p>
        </w:tc>
      </w:tr>
      <w:tr>
        <w:tc>
          <w:tcPr>
            <w:tcW w:type="dxa" w:w="787"/>
          </w:tcPr>
          <w:p>
            <w:pPr>
              <w:spacing w:after="0" w:line="264" w:lineRule="auto"/>
            </w:pPr>
            <w:r>
              <w:rPr>
                <w:rFonts w:ascii="Times New Roman" w:hAnsi="Times New Roman" w:eastAsia="Times New Roman"/>
                <w:b w:val="0"/>
                <w:i w:val="0"/>
                <w:sz w:val="24"/>
              </w:rPr>
              <w:t>M12</w:t>
            </w:r>
          </w:p>
        </w:tc>
        <w:tc>
          <w:tcPr>
            <w:tcW w:type="dxa" w:w="1923"/>
          </w:tcPr>
          <w:p>
            <w:pPr>
              <w:spacing w:after="0" w:line="264" w:lineRule="auto"/>
            </w:pPr>
            <w:r>
              <w:rPr>
                <w:rFonts w:ascii="Times New Roman" w:hAnsi="Times New Roman" w:eastAsia="Times New Roman"/>
                <w:b w:val="0"/>
                <w:i w:val="0"/>
                <w:sz w:val="24"/>
              </w:rPr>
              <w:t>Benchmark Reports</w:t>
            </w:r>
          </w:p>
        </w:tc>
        <w:tc>
          <w:tcPr>
            <w:tcW w:type="dxa" w:w="5596"/>
          </w:tcPr>
          <w:p>
            <w:pPr>
              <w:spacing w:after="0" w:line="264" w:lineRule="auto"/>
            </w:pPr>
            <w:r>
              <w:rPr>
                <w:rFonts w:ascii="Times New Roman" w:hAnsi="Times New Roman" w:eastAsia="Times New Roman"/>
                <w:b w:val="0"/>
                <w:i w:val="0"/>
                <w:sz w:val="24"/>
              </w:rPr>
              <w:t>Generates a PDF report of a finished session with its results, analyses, recommendation and the environment it ran on, for download.</w:t>
            </w:r>
          </w:p>
        </w:tc>
      </w:tr>
      <w:tr>
        <w:tc>
          <w:tcPr>
            <w:tcW w:type="dxa" w:w="787"/>
          </w:tcPr>
          <w:p>
            <w:pPr>
              <w:spacing w:after="0" w:line="264" w:lineRule="auto"/>
            </w:pPr>
            <w:r>
              <w:rPr>
                <w:rFonts w:ascii="Times New Roman" w:hAnsi="Times New Roman" w:eastAsia="Times New Roman"/>
                <w:b w:val="0"/>
                <w:i w:val="0"/>
                <w:sz w:val="24"/>
              </w:rPr>
              <w:t>M13</w:t>
            </w:r>
          </w:p>
        </w:tc>
        <w:tc>
          <w:tcPr>
            <w:tcW w:type="dxa" w:w="1923"/>
          </w:tcPr>
          <w:p>
            <w:pPr>
              <w:spacing w:after="0" w:line="264" w:lineRule="auto"/>
            </w:pPr>
            <w:r>
              <w:rPr>
                <w:rFonts w:ascii="Times New Roman" w:hAnsi="Times New Roman" w:eastAsia="Times New Roman"/>
                <w:b w:val="0"/>
                <w:i w:val="0"/>
                <w:sz w:val="24"/>
              </w:rPr>
              <w:t>Settings &amp; Profile</w:t>
            </w:r>
          </w:p>
        </w:tc>
        <w:tc>
          <w:tcPr>
            <w:tcW w:type="dxa" w:w="5596"/>
          </w:tcPr>
          <w:p>
            <w:pPr>
              <w:spacing w:after="0" w:line="264" w:lineRule="auto"/>
            </w:pPr>
            <w:r>
              <w:rPr>
                <w:rFonts w:ascii="Times New Roman" w:hAnsi="Times New Roman" w:eastAsia="Times New Roman"/>
                <w:b w:val="0"/>
                <w:i w:val="0"/>
                <w:sz w:val="24"/>
              </w:rPr>
              <w:t>Lets users choose the theme (light, dark or system), turn Telegram notifications on and send a test message, set their defaults for new benchmarks and their SAW weight presets, change their password and manage their logged-in devices.</w:t>
            </w:r>
          </w:p>
        </w:tc>
      </w:tr>
      <w:tr>
        <w:tc>
          <w:tcPr>
            <w:tcW w:type="dxa" w:w="787"/>
          </w:tcPr>
          <w:p>
            <w:pPr>
              <w:spacing w:after="0" w:line="264" w:lineRule="auto"/>
            </w:pPr>
            <w:r>
              <w:rPr>
                <w:rFonts w:ascii="Times New Roman" w:hAnsi="Times New Roman" w:eastAsia="Times New Roman"/>
                <w:b w:val="0"/>
                <w:i w:val="0"/>
                <w:sz w:val="24"/>
              </w:rPr>
              <w:t>M14</w:t>
            </w:r>
          </w:p>
        </w:tc>
        <w:tc>
          <w:tcPr>
            <w:tcW w:type="dxa" w:w="1923"/>
          </w:tcPr>
          <w:p>
            <w:pPr>
              <w:spacing w:after="0" w:line="264" w:lineRule="auto"/>
            </w:pPr>
            <w:r>
              <w:rPr>
                <w:rFonts w:ascii="Times New Roman" w:hAnsi="Times New Roman" w:eastAsia="Times New Roman"/>
                <w:b w:val="0"/>
                <w:i w:val="0"/>
                <w:sz w:val="24"/>
              </w:rPr>
              <w:t>Admin Panel</w:t>
            </w:r>
          </w:p>
        </w:tc>
        <w:tc>
          <w:tcPr>
            <w:tcW w:type="dxa" w:w="5596"/>
          </w:tcPr>
          <w:p>
            <w:pPr>
              <w:spacing w:after="0" w:line="264" w:lineRule="auto"/>
            </w:pPr>
            <w:r>
              <w:rPr>
                <w:rFonts w:ascii="Times New Roman" w:hAnsi="Times New Roman" w:eastAsia="Times New Roman"/>
                <w:b w:val="0"/>
                <w:i w:val="0"/>
                <w:sz w:val="24"/>
              </w:rPr>
              <w:t>Gives administrators user management (create, reset password, disable and delete users), the status of the GPU server, which credentials are configured (shown as set or not set, never their values), the system limits (upload size, flows per session, sessions per hour) and the model catalogue.</w:t>
            </w:r>
          </w:p>
        </w:tc>
      </w:tr>
      <w:tr>
        <w:tc>
          <w:tcPr>
            <w:tcW w:type="dxa" w:w="787"/>
          </w:tcPr>
          <w:p>
            <w:pPr>
              <w:spacing w:after="0" w:line="264" w:lineRule="auto"/>
            </w:pPr>
            <w:r>
              <w:rPr>
                <w:rFonts w:ascii="Times New Roman" w:hAnsi="Times New Roman" w:eastAsia="Times New Roman"/>
                <w:b w:val="0"/>
                <w:i w:val="0"/>
                <w:sz w:val="24"/>
              </w:rPr>
              <w:t>M15</w:t>
            </w:r>
          </w:p>
        </w:tc>
        <w:tc>
          <w:tcPr>
            <w:tcW w:type="dxa" w:w="1923"/>
          </w:tcPr>
          <w:p>
            <w:pPr>
              <w:spacing w:after="0" w:line="264" w:lineRule="auto"/>
            </w:pPr>
            <w:r>
              <w:rPr>
                <w:rFonts w:ascii="Times New Roman" w:hAnsi="Times New Roman" w:eastAsia="Times New Roman"/>
                <w:b w:val="0"/>
                <w:i w:val="0"/>
                <w:sz w:val="24"/>
              </w:rPr>
              <w:t>Help Centre</w:t>
            </w:r>
          </w:p>
        </w:tc>
        <w:tc>
          <w:tcPr>
            <w:tcW w:type="dxa" w:w="5596"/>
          </w:tcPr>
          <w:p>
            <w:pPr>
              <w:spacing w:after="0" w:line="264" w:lineRule="auto"/>
            </w:pPr>
            <w:r>
              <w:rPr>
                <w:rFonts w:ascii="Times New Roman" w:hAnsi="Times New Roman" w:eastAsia="Times New Roman"/>
                <w:b w:val="0"/>
                <w:i w:val="0"/>
                <w:sz w:val="24"/>
              </w:rPr>
              <w:t>Explains how to run a benchmark, how to read a session, what each results tab answers, how Sessions, Compare and Leaderboard differ, the key terms and common questions.</w:t>
            </w:r>
          </w:p>
        </w:tc>
      </w:tr>
    </w:tbl>
    <w:p/>
    <w:p>
      <w:pPr>
        <w:spacing w:after="80"/>
      </w:pPr>
      <w:r>
        <w:rPr>
          <w:rFonts w:ascii="Times New Roman" w:hAnsi="Times New Roman" w:eastAsia="Times New Roman"/>
          <w:b/>
          <w:i w:val="0"/>
          <w:sz w:val="24"/>
        </w:rPr>
        <w:t>Table 3.28: Backend Automation Modules</w:t>
      </w:r>
    </w:p>
    <w:tbl>
      <w:tblP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306" w:type="dxa"/>
      </w:tblPr>
      <w:tblGrid>
        <w:gridCol w:w="787"/>
        <w:gridCol w:w="1923"/>
        <w:gridCol w:w="5596"/>
      </w:tblGrid>
      <w:tr>
        <w:trPr>
          <w:tblHeader w:val="true"/>
        </w:trPr>
        <w:tc>
          <w:tcPr>
            <w:tcW w:type="dxa" w:w="787"/>
            <w:shd w:val="clear" w:color="auto" w:fill="D9D9D9"/>
          </w:tcPr>
          <w:p>
            <w:pPr>
              <w:spacing w:after="0" w:line="264" w:lineRule="auto"/>
            </w:pPr>
            <w:r>
              <w:rPr>
                <w:rFonts w:ascii="Times New Roman" w:hAnsi="Times New Roman" w:eastAsia="Times New Roman"/>
                <w:b/>
                <w:i w:val="0"/>
                <w:sz w:val="24"/>
              </w:rPr>
              <w:t>No.</w:t>
            </w:r>
          </w:p>
        </w:tc>
        <w:tc>
          <w:tcPr>
            <w:tcW w:type="dxa" w:w="1923"/>
            <w:shd w:val="clear" w:color="auto" w:fill="D9D9D9"/>
          </w:tcPr>
          <w:p>
            <w:pPr>
              <w:spacing w:after="0" w:line="264" w:lineRule="auto"/>
            </w:pPr>
            <w:r>
              <w:rPr>
                <w:rFonts w:ascii="Times New Roman" w:hAnsi="Times New Roman" w:eastAsia="Times New Roman"/>
                <w:b/>
                <w:i w:val="0"/>
                <w:sz w:val="24"/>
              </w:rPr>
              <w:t>Module</w:t>
            </w:r>
          </w:p>
        </w:tc>
        <w:tc>
          <w:tcPr>
            <w:tcW w:type="dxa" w:w="5596"/>
            <w:shd w:val="clear" w:color="auto" w:fill="D9D9D9"/>
          </w:tcPr>
          <w:p>
            <w:pPr>
              <w:spacing w:after="0" w:line="264" w:lineRule="auto"/>
            </w:pPr>
            <w:r>
              <w:rPr>
                <w:rFonts w:ascii="Times New Roman" w:hAnsi="Times New Roman" w:eastAsia="Times New Roman"/>
                <w:b/>
                <w:i w:val="0"/>
                <w:sz w:val="24"/>
              </w:rPr>
              <w:t>Description</w:t>
            </w:r>
          </w:p>
        </w:tc>
      </w:tr>
      <w:tr>
        <w:tc>
          <w:tcPr>
            <w:tcW w:type="dxa" w:w="787"/>
          </w:tcPr>
          <w:p>
            <w:pPr>
              <w:spacing w:after="0" w:line="264" w:lineRule="auto"/>
            </w:pPr>
            <w:r>
              <w:rPr>
                <w:rFonts w:ascii="Times New Roman" w:hAnsi="Times New Roman" w:eastAsia="Times New Roman"/>
                <w:b w:val="0"/>
                <w:i w:val="0"/>
                <w:sz w:val="24"/>
              </w:rPr>
              <w:t>A01</w:t>
            </w:r>
          </w:p>
        </w:tc>
        <w:tc>
          <w:tcPr>
            <w:tcW w:type="dxa" w:w="1923"/>
          </w:tcPr>
          <w:p>
            <w:pPr>
              <w:spacing w:after="0" w:line="264" w:lineRule="auto"/>
            </w:pPr>
            <w:r>
              <w:rPr>
                <w:rFonts w:ascii="Times New Roman" w:hAnsi="Times New Roman" w:eastAsia="Times New Roman"/>
                <w:b w:val="0"/>
                <w:i w:val="0"/>
                <w:sz w:val="24"/>
              </w:rPr>
              <w:t>Control Plane API</w:t>
            </w:r>
          </w:p>
        </w:tc>
        <w:tc>
          <w:tcPr>
            <w:tcW w:type="dxa" w:w="5596"/>
          </w:tcPr>
          <w:p>
            <w:pPr>
              <w:spacing w:after="0" w:line="264" w:lineRule="auto"/>
            </w:pPr>
            <w:r>
              <w:rPr>
                <w:rFonts w:ascii="Times New Roman" w:hAnsi="Times New Roman" w:eastAsia="Times New Roman"/>
                <w:b w:val="0"/>
                <w:i w:val="0"/>
                <w:sz w:val="24"/>
              </w:rPr>
              <w:t>A Supabase Edge Function (TypeScript on Deno) that handles login, accounts, settings, run authorisation and the storage and retrieval of sessions. It is always online, so past results stay available when the GPU server is switched off.</w:t>
            </w:r>
          </w:p>
        </w:tc>
      </w:tr>
      <w:tr>
        <w:tc>
          <w:tcPr>
            <w:tcW w:type="dxa" w:w="787"/>
          </w:tcPr>
          <w:p>
            <w:pPr>
              <w:spacing w:after="0" w:line="264" w:lineRule="auto"/>
            </w:pPr>
            <w:r>
              <w:rPr>
                <w:rFonts w:ascii="Times New Roman" w:hAnsi="Times New Roman" w:eastAsia="Times New Roman"/>
                <w:b w:val="0"/>
                <w:i w:val="0"/>
                <w:sz w:val="24"/>
              </w:rPr>
              <w:t>A02</w:t>
            </w:r>
          </w:p>
        </w:tc>
        <w:tc>
          <w:tcPr>
            <w:tcW w:type="dxa" w:w="1923"/>
          </w:tcPr>
          <w:p>
            <w:pPr>
              <w:spacing w:after="0" w:line="264" w:lineRule="auto"/>
            </w:pPr>
            <w:r>
              <w:rPr>
                <w:rFonts w:ascii="Times New Roman" w:hAnsi="Times New Roman" w:eastAsia="Times New Roman"/>
                <w:b w:val="0"/>
                <w:i w:val="0"/>
                <w:sz w:val="24"/>
              </w:rPr>
              <w:t>Database &amp; File Storage</w:t>
            </w:r>
          </w:p>
        </w:tc>
        <w:tc>
          <w:tcPr>
            <w:tcW w:type="dxa" w:w="5596"/>
          </w:tcPr>
          <w:p>
            <w:pPr>
              <w:spacing w:after="0" w:line="264" w:lineRule="auto"/>
            </w:pPr>
            <w:r>
              <w:rPr>
                <w:rFonts w:ascii="Times New Roman" w:hAnsi="Times New Roman" w:eastAsia="Times New Roman"/>
                <w:b w:val="0"/>
                <w:i w:val="0"/>
                <w:sz w:val="24"/>
              </w:rPr>
              <w:t>Stores users, sessions, scores and analyses in Supabase PostgreSQL, and PDF reports, prepared sets and large result files in a private Supabase Storage bucket.</w:t>
            </w:r>
          </w:p>
        </w:tc>
      </w:tr>
      <w:tr>
        <w:tc>
          <w:tcPr>
            <w:tcW w:type="dxa" w:w="787"/>
          </w:tcPr>
          <w:p>
            <w:pPr>
              <w:spacing w:after="0" w:line="264" w:lineRule="auto"/>
            </w:pPr>
            <w:r>
              <w:rPr>
                <w:rFonts w:ascii="Times New Roman" w:hAnsi="Times New Roman" w:eastAsia="Times New Roman"/>
                <w:b w:val="0"/>
                <w:i w:val="0"/>
                <w:sz w:val="24"/>
              </w:rPr>
              <w:t>A03</w:t>
            </w:r>
          </w:p>
        </w:tc>
        <w:tc>
          <w:tcPr>
            <w:tcW w:type="dxa" w:w="1923"/>
          </w:tcPr>
          <w:p>
            <w:pPr>
              <w:spacing w:after="0" w:line="264" w:lineRule="auto"/>
            </w:pPr>
            <w:r>
              <w:rPr>
                <w:rFonts w:ascii="Times New Roman" w:hAnsi="Times New Roman" w:eastAsia="Times New Roman"/>
                <w:b w:val="0"/>
                <w:i w:val="0"/>
                <w:sz w:val="24"/>
              </w:rPr>
              <w:t>GPU Server Registration &amp; Secure Tunnel</w:t>
            </w:r>
          </w:p>
        </w:tc>
        <w:tc>
          <w:tcPr>
            <w:tcW w:type="dxa" w:w="5596"/>
          </w:tcPr>
          <w:p>
            <w:pPr>
              <w:spacing w:after="0" w:line="264" w:lineRule="auto"/>
            </w:pPr>
            <w:r>
              <w:rPr>
                <w:rFonts w:ascii="Times New Roman" w:hAnsi="Times New Roman" w:eastAsia="Times New Roman"/>
                <w:b w:val="0"/>
                <w:i w:val="0"/>
                <w:sz w:val="24"/>
              </w:rPr>
              <w:t>Connects the rented GPU server to the web application through a Cloudflare Tunnel (HTTPS without open ports). The server registers with the control plane at start-up and sends a heartbeat every minute, so the web application can show whether the GPU is online.</w:t>
            </w:r>
          </w:p>
        </w:tc>
      </w:tr>
      <w:tr>
        <w:tc>
          <w:tcPr>
            <w:tcW w:type="dxa" w:w="787"/>
          </w:tcPr>
          <w:p>
            <w:pPr>
              <w:spacing w:after="0" w:line="264" w:lineRule="auto"/>
            </w:pPr>
            <w:r>
              <w:rPr>
                <w:rFonts w:ascii="Times New Roman" w:hAnsi="Times New Roman" w:eastAsia="Times New Roman"/>
                <w:b w:val="0"/>
                <w:i w:val="0"/>
                <w:sz w:val="24"/>
              </w:rPr>
              <w:t>A04</w:t>
            </w:r>
          </w:p>
        </w:tc>
        <w:tc>
          <w:tcPr>
            <w:tcW w:type="dxa" w:w="1923"/>
          </w:tcPr>
          <w:p>
            <w:pPr>
              <w:spacing w:after="0" w:line="264" w:lineRule="auto"/>
            </w:pPr>
            <w:r>
              <w:rPr>
                <w:rFonts w:ascii="Times New Roman" w:hAnsi="Times New Roman" w:eastAsia="Times New Roman"/>
                <w:b w:val="0"/>
                <w:i w:val="0"/>
                <w:sz w:val="24"/>
              </w:rPr>
              <w:t>Run Authorisation &amp; Limits</w:t>
            </w:r>
          </w:p>
        </w:tc>
        <w:tc>
          <w:tcPr>
            <w:tcW w:type="dxa" w:w="5596"/>
          </w:tcPr>
          <w:p>
            <w:pPr>
              <w:spacing w:after="0" w:line="264" w:lineRule="auto"/>
            </w:pPr>
            <w:r>
              <w:rPr>
                <w:rFonts w:ascii="Times New Roman" w:hAnsi="Times New Roman" w:eastAsia="Times New Roman"/>
                <w:b w:val="0"/>
                <w:i w:val="0"/>
                <w:sz w:val="24"/>
              </w:rPr>
              <w:t>Issues a short-lived, signed run token for each benchmark after checking the user's permissions and the sessions-per-hour limit. The GPU server rejects any request without a valid token.</w:t>
            </w:r>
          </w:p>
        </w:tc>
      </w:tr>
      <w:tr>
        <w:tc>
          <w:tcPr>
            <w:tcW w:type="dxa" w:w="787"/>
          </w:tcPr>
          <w:p>
            <w:pPr>
              <w:spacing w:after="0" w:line="264" w:lineRule="auto"/>
            </w:pPr>
            <w:r>
              <w:rPr>
                <w:rFonts w:ascii="Times New Roman" w:hAnsi="Times New Roman" w:eastAsia="Times New Roman"/>
                <w:b w:val="0"/>
                <w:i w:val="0"/>
                <w:sz w:val="24"/>
              </w:rPr>
              <w:t>A05</w:t>
            </w:r>
          </w:p>
        </w:tc>
        <w:tc>
          <w:tcPr>
            <w:tcW w:type="dxa" w:w="1923"/>
          </w:tcPr>
          <w:p>
            <w:pPr>
              <w:spacing w:after="0" w:line="264" w:lineRule="auto"/>
            </w:pPr>
            <w:r>
              <w:rPr>
                <w:rFonts w:ascii="Times New Roman" w:hAnsi="Times New Roman" w:eastAsia="Times New Roman"/>
                <w:b w:val="0"/>
                <w:i w:val="0"/>
                <w:sz w:val="24"/>
              </w:rPr>
              <w:t>Data Preparation Engine</w:t>
            </w:r>
          </w:p>
        </w:tc>
        <w:tc>
          <w:tcPr>
            <w:tcW w:type="dxa" w:w="5596"/>
          </w:tcPr>
          <w:p>
            <w:pPr>
              <w:spacing w:after="0" w:line="264" w:lineRule="auto"/>
            </w:pPr>
            <w:r>
              <w:rPr>
                <w:rFonts w:ascii="Times New Roman" w:hAnsi="Times New Roman" w:eastAsia="Times New Roman"/>
                <w:b w:val="0"/>
                <w:i w:val="0"/>
                <w:sz w:val="24"/>
              </w:rPr>
              <w:t>Runs the same Python preparation code in the browser (Pyodide in a Web Worker) or on the GPU server: CSV and PCAP validation, packet-to-flow conversion with CICFlowMeter, label detection and isolation, rule-based flow sampling and SHA-256 hashing. URL imports refuse private, local and non-HTTPS addresses.</w:t>
            </w:r>
          </w:p>
        </w:tc>
      </w:tr>
      <w:tr>
        <w:tc>
          <w:tcPr>
            <w:tcW w:type="dxa" w:w="787"/>
          </w:tcPr>
          <w:p>
            <w:pPr>
              <w:spacing w:after="0" w:line="264" w:lineRule="auto"/>
            </w:pPr>
            <w:r>
              <w:rPr>
                <w:rFonts w:ascii="Times New Roman" w:hAnsi="Times New Roman" w:eastAsia="Times New Roman"/>
                <w:b w:val="0"/>
                <w:i w:val="0"/>
                <w:sz w:val="24"/>
              </w:rPr>
              <w:t>A06</w:t>
            </w:r>
          </w:p>
        </w:tc>
        <w:tc>
          <w:tcPr>
            <w:tcW w:type="dxa" w:w="1923"/>
          </w:tcPr>
          <w:p>
            <w:pPr>
              <w:spacing w:after="0" w:line="264" w:lineRule="auto"/>
            </w:pPr>
            <w:r>
              <w:rPr>
                <w:rFonts w:ascii="Times New Roman" w:hAnsi="Times New Roman" w:eastAsia="Times New Roman"/>
                <w:b w:val="0"/>
                <w:i w:val="0"/>
                <w:sz w:val="24"/>
              </w:rPr>
              <w:t>Model Worker &amp; 4-bit Loader</w:t>
            </w:r>
          </w:p>
        </w:tc>
        <w:tc>
          <w:tcPr>
            <w:tcW w:type="dxa" w:w="5596"/>
          </w:tcPr>
          <w:p>
            <w:pPr>
              <w:spacing w:after="0" w:line="264" w:lineRule="auto"/>
            </w:pPr>
            <w:r>
              <w:rPr>
                <w:rFonts w:ascii="Times New Roman" w:hAnsi="Times New Roman" w:eastAsia="Times New Roman"/>
                <w:b w:val="0"/>
                <w:i w:val="0"/>
                <w:sz w:val="24"/>
              </w:rPr>
              <w:t>Starts a separate worker process for each model, downloads the model from the Hugging Face Hub when it is not cached, loads it in 4-bit NF4 with Transformers and bitsandbytes, and frees the GPU memory when the model is finished.</w:t>
            </w:r>
          </w:p>
        </w:tc>
      </w:tr>
      <w:tr>
        <w:tc>
          <w:tcPr>
            <w:tcW w:type="dxa" w:w="787"/>
          </w:tcPr>
          <w:p>
            <w:pPr>
              <w:spacing w:after="0" w:line="264" w:lineRule="auto"/>
            </w:pPr>
            <w:r>
              <w:rPr>
                <w:rFonts w:ascii="Times New Roman" w:hAnsi="Times New Roman" w:eastAsia="Times New Roman"/>
                <w:b w:val="0"/>
                <w:i w:val="0"/>
                <w:sz w:val="24"/>
              </w:rPr>
              <w:t>A07</w:t>
            </w:r>
          </w:p>
        </w:tc>
        <w:tc>
          <w:tcPr>
            <w:tcW w:type="dxa" w:w="1923"/>
          </w:tcPr>
          <w:p>
            <w:pPr>
              <w:spacing w:after="0" w:line="264" w:lineRule="auto"/>
            </w:pPr>
            <w:r>
              <w:rPr>
                <w:rFonts w:ascii="Times New Roman" w:hAnsi="Times New Roman" w:eastAsia="Times New Roman"/>
                <w:b w:val="0"/>
                <w:i w:val="0"/>
                <w:sz w:val="24"/>
              </w:rPr>
              <w:t>Agent Pipeline &amp; Instrumentation</w:t>
            </w:r>
          </w:p>
        </w:tc>
        <w:tc>
          <w:tcPr>
            <w:tcW w:type="dxa" w:w="5596"/>
          </w:tcPr>
          <w:p>
            <w:pPr>
              <w:spacing w:after="0" w:line="264" w:lineRule="auto"/>
            </w:pPr>
            <w:r>
              <w:rPr>
                <w:rFonts w:ascii="Times New Roman" w:hAnsi="Times New Roman" w:eastAsia="Times New Roman"/>
                <w:b w:val="0"/>
                <w:i w:val="0"/>
                <w:sz w:val="24"/>
              </w:rPr>
              <w:t>Runs each flow through the LangGraph agent pipeline and records the wall time, time to first token, GPU memory and input and output tokens around every agent call. Results are written to a temporary SQLite run database so an interrupted run can resume.</w:t>
            </w:r>
          </w:p>
        </w:tc>
      </w:tr>
      <w:tr>
        <w:tc>
          <w:tcPr>
            <w:tcW w:type="dxa" w:w="787"/>
          </w:tcPr>
          <w:p>
            <w:pPr>
              <w:spacing w:after="0" w:line="264" w:lineRule="auto"/>
            </w:pPr>
            <w:r>
              <w:rPr>
                <w:rFonts w:ascii="Times New Roman" w:hAnsi="Times New Roman" w:eastAsia="Times New Roman"/>
                <w:b w:val="0"/>
                <w:i w:val="0"/>
                <w:sz w:val="24"/>
              </w:rPr>
              <w:t>A08</w:t>
            </w:r>
          </w:p>
        </w:tc>
        <w:tc>
          <w:tcPr>
            <w:tcW w:type="dxa" w:w="1923"/>
          </w:tcPr>
          <w:p>
            <w:pPr>
              <w:spacing w:after="0" w:line="264" w:lineRule="auto"/>
            </w:pPr>
            <w:r>
              <w:rPr>
                <w:rFonts w:ascii="Times New Roman" w:hAnsi="Times New Roman" w:eastAsia="Times New Roman"/>
                <w:b w:val="0"/>
                <w:i w:val="0"/>
                <w:sz w:val="24"/>
              </w:rPr>
              <w:t>GPU Power &amp; Telemetry Sampler</w:t>
            </w:r>
          </w:p>
        </w:tc>
        <w:tc>
          <w:tcPr>
            <w:tcW w:type="dxa" w:w="5596"/>
          </w:tcPr>
          <w:p>
            <w:pPr>
              <w:spacing w:after="0" w:line="264" w:lineRule="auto"/>
            </w:pPr>
            <w:r>
              <w:rPr>
                <w:rFonts w:ascii="Times New Roman" w:hAnsi="Times New Roman" w:eastAsia="Times New Roman"/>
                <w:b w:val="0"/>
                <w:i w:val="0"/>
                <w:sz w:val="24"/>
              </w:rPr>
              <w:t>Reads GPU board power, memory and utilisation through NVML on a separate thread, measures idle power before each model, and writes progress events between timed calls so that telemetry never changes a measurement.</w:t>
            </w:r>
          </w:p>
        </w:tc>
      </w:tr>
      <w:tr>
        <w:tc>
          <w:tcPr>
            <w:tcW w:type="dxa" w:w="787"/>
          </w:tcPr>
          <w:p>
            <w:pPr>
              <w:spacing w:after="0" w:line="264" w:lineRule="auto"/>
            </w:pPr>
            <w:r>
              <w:rPr>
                <w:rFonts w:ascii="Times New Roman" w:hAnsi="Times New Roman" w:eastAsia="Times New Roman"/>
                <w:b w:val="0"/>
                <w:i w:val="0"/>
                <w:sz w:val="24"/>
              </w:rPr>
              <w:t>A09</w:t>
            </w:r>
          </w:p>
        </w:tc>
        <w:tc>
          <w:tcPr>
            <w:tcW w:type="dxa" w:w="1923"/>
          </w:tcPr>
          <w:p>
            <w:pPr>
              <w:spacing w:after="0" w:line="264" w:lineRule="auto"/>
            </w:pPr>
            <w:r>
              <w:rPr>
                <w:rFonts w:ascii="Times New Roman" w:hAnsi="Times New Roman" w:eastAsia="Times New Roman"/>
                <w:b w:val="0"/>
                <w:i w:val="0"/>
                <w:sz w:val="24"/>
              </w:rPr>
              <w:t>Scoring &amp; Statistical Analysis Engine</w:t>
            </w:r>
          </w:p>
        </w:tc>
        <w:tc>
          <w:tcPr>
            <w:tcW w:type="dxa" w:w="5596"/>
          </w:tcPr>
          <w:p>
            <w:pPr>
              <w:spacing w:after="0" w:line="264" w:lineRule="auto"/>
            </w:pPr>
            <w:r>
              <w:rPr>
                <w:rFonts w:ascii="Times New Roman" w:hAnsi="Times New Roman" w:eastAsia="Times New Roman"/>
                <w:b w:val="0"/>
                <w:i w:val="0"/>
                <w:sz w:val="24"/>
              </w:rPr>
              <w:t>Calculates accuracy and output reliability, the efficiency-only SAW score and its sensitivity analysis, energy and cost per 1,000 flows (using the live Vast.ai price when available), the user's limit checks, the Kruskal-Wallis test with Dunn-Holm post-hoc comparisons and the paired bootstrap ranking stability, then builds the PDF report.</w:t>
            </w:r>
          </w:p>
        </w:tc>
      </w:tr>
      <w:tr>
        <w:tc>
          <w:tcPr>
            <w:tcW w:type="dxa" w:w="787"/>
          </w:tcPr>
          <w:p>
            <w:pPr>
              <w:spacing w:after="0" w:line="264" w:lineRule="auto"/>
            </w:pPr>
            <w:r>
              <w:rPr>
                <w:rFonts w:ascii="Times New Roman" w:hAnsi="Times New Roman" w:eastAsia="Times New Roman"/>
                <w:b w:val="0"/>
                <w:i w:val="0"/>
                <w:sz w:val="24"/>
              </w:rPr>
              <w:t>A10</w:t>
            </w:r>
          </w:p>
        </w:tc>
        <w:tc>
          <w:tcPr>
            <w:tcW w:type="dxa" w:w="1923"/>
          </w:tcPr>
          <w:p>
            <w:pPr>
              <w:spacing w:after="0" w:line="264" w:lineRule="auto"/>
            </w:pPr>
            <w:r>
              <w:rPr>
                <w:rFonts w:ascii="Times New Roman" w:hAnsi="Times New Roman" w:eastAsia="Times New Roman"/>
                <w:b w:val="0"/>
                <w:i w:val="0"/>
                <w:sz w:val="24"/>
              </w:rPr>
              <w:t>Results Upload</w:t>
            </w:r>
          </w:p>
        </w:tc>
        <w:tc>
          <w:tcPr>
            <w:tcW w:type="dxa" w:w="5596"/>
          </w:tcPr>
          <w:p>
            <w:pPr>
              <w:spacing w:after="0" w:line="264" w:lineRule="auto"/>
            </w:pPr>
            <w:r>
              <w:rPr>
                <w:rFonts w:ascii="Times New Roman" w:hAnsi="Times New Roman" w:eastAsia="Times New Roman"/>
                <w:b w:val="0"/>
                <w:i w:val="0"/>
                <w:sz w:val="24"/>
              </w:rPr>
              <w:t>Uploads the finished session, its summary and its files from the GPU server to the control plane, and retries when the upload fails so no results are lost.</w:t>
            </w:r>
          </w:p>
        </w:tc>
      </w:tr>
      <w:tr>
        <w:tc>
          <w:tcPr>
            <w:tcW w:type="dxa" w:w="787"/>
          </w:tcPr>
          <w:p>
            <w:pPr>
              <w:spacing w:after="0" w:line="264" w:lineRule="auto"/>
            </w:pPr>
            <w:r>
              <w:rPr>
                <w:rFonts w:ascii="Times New Roman" w:hAnsi="Times New Roman" w:eastAsia="Times New Roman"/>
                <w:b w:val="0"/>
                <w:i w:val="0"/>
                <w:sz w:val="24"/>
              </w:rPr>
              <w:t>A11</w:t>
            </w:r>
          </w:p>
        </w:tc>
        <w:tc>
          <w:tcPr>
            <w:tcW w:type="dxa" w:w="1923"/>
          </w:tcPr>
          <w:p>
            <w:pPr>
              <w:spacing w:after="0" w:line="264" w:lineRule="auto"/>
            </w:pPr>
            <w:r>
              <w:rPr>
                <w:rFonts w:ascii="Times New Roman" w:hAnsi="Times New Roman" w:eastAsia="Times New Roman"/>
                <w:b w:val="0"/>
                <w:i w:val="0"/>
                <w:sz w:val="24"/>
              </w:rPr>
              <w:t>Telegram Notification Dispatcher</w:t>
            </w:r>
          </w:p>
        </w:tc>
        <w:tc>
          <w:tcPr>
            <w:tcW w:type="dxa" w:w="5596"/>
          </w:tcPr>
          <w:p>
            <w:pPr>
              <w:spacing w:after="0" w:line="264" w:lineRule="auto"/>
            </w:pPr>
            <w:r>
              <w:rPr>
                <w:rFonts w:ascii="Times New Roman" w:hAnsi="Times New Roman" w:eastAsia="Times New Roman"/>
                <w:b w:val="0"/>
                <w:i w:val="0"/>
                <w:sz w:val="24"/>
              </w:rPr>
              <w:t>Sends one summary message to the user's Telegram chat when a session finishes, according to the user's notification setting, and records that it was sent so it is never sent twice.</w:t>
            </w:r>
          </w:p>
        </w:tc>
      </w:tr>
      <w:tr>
        <w:tc>
          <w:tcPr>
            <w:tcW w:type="dxa" w:w="787"/>
          </w:tcPr>
          <w:p>
            <w:pPr>
              <w:spacing w:after="0" w:line="264" w:lineRule="auto"/>
            </w:pPr>
            <w:r>
              <w:rPr>
                <w:rFonts w:ascii="Times New Roman" w:hAnsi="Times New Roman" w:eastAsia="Times New Roman"/>
                <w:b w:val="0"/>
                <w:i w:val="0"/>
                <w:sz w:val="24"/>
              </w:rPr>
              <w:t>A12</w:t>
            </w:r>
          </w:p>
        </w:tc>
        <w:tc>
          <w:tcPr>
            <w:tcW w:type="dxa" w:w="1923"/>
          </w:tcPr>
          <w:p>
            <w:pPr>
              <w:spacing w:after="0" w:line="264" w:lineRule="auto"/>
            </w:pPr>
            <w:r>
              <w:rPr>
                <w:rFonts w:ascii="Times New Roman" w:hAnsi="Times New Roman" w:eastAsia="Times New Roman"/>
                <w:b w:val="0"/>
                <w:i w:val="0"/>
                <w:sz w:val="24"/>
              </w:rPr>
              <w:t>Re-run Scheduler</w:t>
            </w:r>
          </w:p>
        </w:tc>
        <w:tc>
          <w:tcPr>
            <w:tcW w:type="dxa" w:w="5596"/>
          </w:tcPr>
          <w:p>
            <w:pPr>
              <w:spacing w:after="0" w:line="264" w:lineRule="auto"/>
            </w:pPr>
            <w:r>
              <w:rPr>
                <w:rFonts w:ascii="Times New Roman" w:hAnsi="Times New Roman" w:eastAsia="Times New Roman"/>
                <w:b w:val="0"/>
                <w:i w:val="0"/>
                <w:sz w:val="24"/>
              </w:rPr>
              <w:t>Starts the repeat runs of a scheduled session at the chosen interval on the same GPU, flows, models and settings, and stops after the chosen number of runs.</w:t>
            </w:r>
          </w:p>
        </w:tc>
      </w:tr>
    </w:tbl>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9"/>
  <w:displayBackgroundShape w:val="1"/>
  <w:documentProtection w:enforcement="0"/>
  <w:defaultTabStop w:val="720"/>
  <w:compat>
    <w:compatSetting w:name="compatibilityMode" w:uri="http://schemas.microsoft.com/office/word" w:val="15"/>
  </w:compat>
  <w:rsids>
    <w:rsidRoot w:val="00000000"/>
    <w:rsid w:val="5BB440F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qFormat="1" w:uiPriority="39" w:name="toc 8"/>
    <w:lsdException w:uiPriority="39"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35"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qFormat="1" w:uiPriority="99"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rPr>
  </w:style>
  <w:style w:type="paragraph" w:styleId="2">
    <w:name w:val="heading 1"/>
    <w:basedOn w:val="1"/>
    <w:next w:val="1"/>
    <w:qFormat/>
    <w:uiPriority w:val="0"/>
    <w:rPr>
      <w:color w:val="2E74B5"/>
      <w:sz w:val="32"/>
      <w:szCs w:val="32"/>
    </w:rPr>
  </w:style>
  <w:style w:type="paragraph" w:styleId="3">
    <w:name w:val="heading 2"/>
    <w:basedOn w:val="1"/>
    <w:next w:val="1"/>
    <w:qFormat/>
    <w:uiPriority w:val="0"/>
    <w:pPr>
      <w:outlineLvl w:val="1"/>
    </w:pPr>
    <w:rPr>
      <w:rFonts w:ascii="Times New Roman" w:hAnsi="Times New Roman" w:eastAsia="Times New Roman" w:cs="Times New Roman"/>
      <w:b/>
      <w:bCs/>
      <w:color w:val="000000"/>
      <w:sz w:val="28"/>
      <w:szCs w:val="28"/>
    </w:rPr>
  </w:style>
  <w:style w:type="paragraph" w:styleId="4">
    <w:name w:val="heading 3"/>
    <w:basedOn w:val="1"/>
    <w:next w:val="1"/>
    <w:qFormat/>
    <w:uiPriority w:val="0"/>
    <w:pPr>
      <w:outlineLvl w:val="2"/>
    </w:pPr>
    <w:rPr>
      <w:rFonts w:ascii="Times New Roman" w:hAnsi="Times New Roman" w:eastAsia="Times New Roman" w:cs="Times New Roman"/>
      <w:b/>
      <w:bCs/>
      <w:color w:val="000000"/>
      <w:sz w:val="28"/>
      <w:szCs w:val="28"/>
    </w:rPr>
  </w:style>
  <w:style w:type="paragraph" w:styleId="5">
    <w:name w:val="heading 4"/>
    <w:basedOn w:val="1"/>
    <w:next w:val="1"/>
    <w:qFormat/>
    <w:uiPriority w:val="0"/>
    <w:rPr>
      <w:i/>
      <w:iCs/>
      <w:color w:val="2E74B5"/>
    </w:rPr>
  </w:style>
  <w:style w:type="paragraph" w:styleId="6">
    <w:name w:val="heading 5"/>
    <w:basedOn w:val="1"/>
    <w:next w:val="1"/>
    <w:qFormat/>
    <w:uiPriority w:val="0"/>
    <w:rPr>
      <w:color w:val="2E74B5"/>
    </w:rPr>
  </w:style>
  <w:style w:type="paragraph" w:styleId="7">
    <w:name w:val="heading 6"/>
    <w:basedOn w:val="1"/>
    <w:next w:val="1"/>
    <w:qFormat/>
    <w:uiPriority w:val="0"/>
    <w:rPr>
      <w:color w:val="1F4D78"/>
    </w:rPr>
  </w:style>
  <w:style w:type="character" w:default="1" w:styleId="8">
    <w:name w:val="Default Paragraph Font"/>
    <w:semiHidden/>
    <w:qFormat/>
    <w:uiPriority w:val="0"/>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caption"/>
    <w:basedOn w:val="1"/>
    <w:next w:val="1"/>
    <w:semiHidden/>
    <w:unhideWhenUsed/>
    <w:qFormat/>
    <w:uiPriority w:val="35"/>
    <w:pPr>
      <w:spacing w:after="200"/>
    </w:pPr>
    <w:rPr>
      <w:i/>
      <w:iCs/>
      <w:color w:val="44546A" w:themeColor="dark2"/>
      <w:sz w:val="18"/>
      <w:szCs w:val="18"/>
      <w14:textFill>
        <w14:solidFill>
          <w14:schemeClr w14:val="dk2"/>
        </w14:solidFill>
      </w14:textFill>
    </w:rPr>
  </w:style>
  <w:style w:type="character" w:styleId="11">
    <w:name w:val="endnote reference"/>
    <w:semiHidden/>
    <w:unhideWhenUsed/>
    <w:qFormat/>
    <w:uiPriority w:val="99"/>
    <w:rPr>
      <w:vertAlign w:val="superscript"/>
    </w:rPr>
  </w:style>
  <w:style w:type="paragraph" w:styleId="12">
    <w:name w:val="endnote text"/>
    <w:basedOn w:val="1"/>
    <w:link w:val="30"/>
    <w:semiHidden/>
    <w:unhideWhenUsed/>
    <w:qFormat/>
    <w:uiPriority w:val="99"/>
    <w:pPr>
      <w:spacing w:after="0" w:line="240" w:lineRule="auto"/>
    </w:pPr>
    <w:rPr>
      <w:sz w:val="20"/>
      <w:szCs w:val="20"/>
    </w:rPr>
  </w:style>
  <w:style w:type="character" w:styleId="13">
    <w:name w:val="footnote reference"/>
    <w:semiHidden/>
    <w:unhideWhenUsed/>
    <w:qFormat/>
    <w:uiPriority w:val="99"/>
    <w:rPr>
      <w:vertAlign w:val="superscript"/>
    </w:rPr>
  </w:style>
  <w:style w:type="paragraph" w:styleId="14">
    <w:name w:val="footnote text"/>
    <w:basedOn w:val="1"/>
    <w:link w:val="29"/>
    <w:semiHidden/>
    <w:unhideWhenUsed/>
    <w:qFormat/>
    <w:uiPriority w:val="99"/>
    <w:pPr>
      <w:spacing w:after="0" w:line="240" w:lineRule="auto"/>
    </w:pPr>
    <w:rPr>
      <w:sz w:val="20"/>
      <w:szCs w:val="20"/>
    </w:rPr>
  </w:style>
  <w:style w:type="character" w:styleId="15">
    <w:name w:val="Hyperlink"/>
    <w:unhideWhenUsed/>
    <w:uiPriority w:val="99"/>
    <w:rPr>
      <w:color w:val="0563C1"/>
      <w:u w:val="single"/>
    </w:rPr>
  </w:style>
  <w:style w:type="character" w:styleId="16">
    <w:name w:val="line number"/>
    <w:semiHidden/>
    <w:unhideWhenUsed/>
    <w:qFormat/>
    <w:uiPriority w:val="99"/>
  </w:style>
  <w:style w:type="paragraph" w:styleId="17">
    <w:name w:val="Title"/>
    <w:basedOn w:val="1"/>
    <w:next w:val="1"/>
    <w:qFormat/>
    <w:uiPriority w:val="0"/>
    <w:rPr>
      <w:sz w:val="56"/>
      <w:szCs w:val="56"/>
    </w:rPr>
  </w:style>
  <w:style w:type="paragraph" w:styleId="18">
    <w:name w:val="toc 1"/>
    <w:basedOn w:val="1"/>
    <w:next w:val="1"/>
    <w:semiHidden/>
    <w:unhideWhenUsed/>
    <w:uiPriority w:val="39"/>
    <w:pPr>
      <w:spacing w:after="100"/>
    </w:pPr>
  </w:style>
  <w:style w:type="paragraph" w:styleId="19">
    <w:name w:val="toc 2"/>
    <w:basedOn w:val="1"/>
    <w:next w:val="1"/>
    <w:semiHidden/>
    <w:unhideWhenUsed/>
    <w:uiPriority w:val="39"/>
    <w:pPr>
      <w:spacing w:after="100"/>
      <w:ind w:left="240"/>
    </w:pPr>
  </w:style>
  <w:style w:type="paragraph" w:styleId="20">
    <w:name w:val="toc 3"/>
    <w:basedOn w:val="1"/>
    <w:next w:val="1"/>
    <w:semiHidden/>
    <w:unhideWhenUsed/>
    <w:uiPriority w:val="39"/>
    <w:pPr>
      <w:spacing w:after="100"/>
      <w:ind w:left="480"/>
    </w:pPr>
  </w:style>
  <w:style w:type="paragraph" w:styleId="21">
    <w:name w:val="toc 4"/>
    <w:basedOn w:val="1"/>
    <w:next w:val="1"/>
    <w:semiHidden/>
    <w:unhideWhenUsed/>
    <w:uiPriority w:val="39"/>
    <w:pPr>
      <w:spacing w:after="100"/>
      <w:ind w:left="720"/>
    </w:pPr>
  </w:style>
  <w:style w:type="paragraph" w:styleId="22">
    <w:name w:val="toc 5"/>
    <w:basedOn w:val="1"/>
    <w:next w:val="1"/>
    <w:semiHidden/>
    <w:unhideWhenUsed/>
    <w:uiPriority w:val="39"/>
    <w:pPr>
      <w:spacing w:after="100"/>
      <w:ind w:left="960"/>
    </w:pPr>
  </w:style>
  <w:style w:type="paragraph" w:styleId="23">
    <w:name w:val="toc 6"/>
    <w:basedOn w:val="1"/>
    <w:next w:val="1"/>
    <w:semiHidden/>
    <w:unhideWhenUsed/>
    <w:uiPriority w:val="39"/>
    <w:pPr>
      <w:spacing w:after="100"/>
      <w:ind w:left="1200"/>
    </w:pPr>
  </w:style>
  <w:style w:type="paragraph" w:styleId="24">
    <w:name w:val="toc 7"/>
    <w:basedOn w:val="1"/>
    <w:next w:val="1"/>
    <w:semiHidden/>
    <w:unhideWhenUsed/>
    <w:uiPriority w:val="39"/>
    <w:pPr>
      <w:spacing w:after="100"/>
      <w:ind w:left="1440"/>
    </w:pPr>
  </w:style>
  <w:style w:type="paragraph" w:styleId="25">
    <w:name w:val="toc 8"/>
    <w:basedOn w:val="1"/>
    <w:next w:val="1"/>
    <w:semiHidden/>
    <w:unhideWhenUsed/>
    <w:qFormat/>
    <w:uiPriority w:val="39"/>
    <w:pPr>
      <w:spacing w:after="100"/>
      <w:ind w:left="1680"/>
    </w:pPr>
  </w:style>
  <w:style w:type="paragraph" w:styleId="26">
    <w:name w:val="toc 9"/>
    <w:basedOn w:val="1"/>
    <w:next w:val="1"/>
    <w:semiHidden/>
    <w:unhideWhenUsed/>
    <w:uiPriority w:val="39"/>
    <w:pPr>
      <w:spacing w:after="100"/>
      <w:ind w:left="1920"/>
    </w:pPr>
  </w:style>
  <w:style w:type="paragraph" w:styleId="27">
    <w:name w:val="List Paragraph"/>
    <w:basedOn w:val="1"/>
    <w:qFormat/>
    <w:uiPriority w:val="0"/>
  </w:style>
  <w:style w:type="paragraph" w:customStyle="1" w:styleId="28">
    <w:name w:val="Bibliography"/>
    <w:basedOn w:val="1"/>
    <w:next w:val="1"/>
    <w:unhideWhenUsed/>
    <w:qFormat/>
    <w:uiPriority w:val="37"/>
  </w:style>
  <w:style w:type="character" w:customStyle="1" w:styleId="29">
    <w:name w:val="Footnote Text Char"/>
    <w:link w:val="14"/>
    <w:semiHidden/>
    <w:unhideWhenUsed/>
    <w:qFormat/>
    <w:uiPriority w:val="99"/>
    <w:rPr>
      <w:sz w:val="20"/>
      <w:szCs w:val="20"/>
    </w:rPr>
  </w:style>
  <w:style w:type="character" w:customStyle="1" w:styleId="30">
    <w:name w:val="Endnote Text Char"/>
    <w:link w:val="12"/>
    <w:semiHidden/>
    <w:unhideWhenUsed/>
    <w:uiPriority w:val="99"/>
    <w:rPr>
      <w:sz w:val="20"/>
      <w:szCs w:val="20"/>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11</Pages>
  <Words>2654</Words>
  <Characters>12924</Characters>
  <TotalTime>0</TotalTime>
  <ScaleCrop>false</ScaleCrop>
  <LinksUpToDate>false</LinksUpToDate>
  <CharactersWithSpaces>15164</CharactersWithSpaces>
  <Application>WPS Office_12.1.0.29162_F1E327BC-269C-435d-A152-05C5408002CA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2026-10-28T08:23:00Z</dcterms:created>
  <dc:creator>Un-named</dc:creator>
  <cp:lastModifiedBy>afif sani</cp:lastModifiedBy>
  <dcterms:modified xsi:type="dcterms:W3CDTF">2026-10-28T09:27:57Z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eyJoZGlkIjoiNjdkOTA2NDAzOTU2ZWY3OWNlZTU4ZjVjMjc3MjJhZDMiLCJ1c2VySWQiOiIxMTE2OTc1OTQ0NTE3In0=</vt:lpwstr>
  </property>
  <property fmtid="{D5CDD505-2E9C-101B-9397-08002B2CF9AE}" pid="3" name="KSOProductBuildVer">
    <vt:lpwstr>1033-12.1.0.29162</vt:lpwstr>
  </property>
  <property fmtid="{D5CDD505-2E9C-101B-9397-08002B2CF9AE}" pid="4" name="ICV">
    <vt:lpwstr>E447323667734054A869E7A157C17AF4_12</vt:lpwstr>
  </property>
</Properties>
</file>