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Times New Roman" w:hAnsi="Times New Roman" w:eastAsia="Times New Roman"/>
          <w:b/>
          <w:i w:val="0"/>
          <w:sz w:val="28"/>
        </w:rPr>
        <w:t>Accuracy Testing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Accuracy testing checks that the values AgentMeter prepares, measures and calculates are correct. A fixed set of test datasets (Table 3.31) is prepared and benchmarked on the GPU server. Each value is then worked out by hand, in a spreadsheet or with an independent tool, using the formula or method given, from the session's own raw per-flow results, and compared with the value the system displays. A result is accepted as accurate when the difference is within the tolerance in Table 3.30.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Accuracy (%) = Number of accurate results ÷ Number of tests × 100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3.30: Test Environment and Accuracy Criteria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3934"/>
        <w:gridCol w:w="4372"/>
      </w:tblGrid>
      <w:tr>
        <w:trPr>
          <w:tblHeader w:val="true"/>
        </w:trPr>
        <w:tc>
          <w:tcPr>
            <w:tcW w:type="dxa" w:w="393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Item</w:t>
            </w:r>
          </w:p>
        </w:tc>
        <w:tc>
          <w:tcPr>
            <w:tcW w:type="dxa" w:w="437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Detail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Tester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 of testing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GPU server (GPU model, VRAM, price per hour)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Models tested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Prepared set used (name, number of flows, SHA-256)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 values (latency, time to first token, agent wall time)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Accurate if within ±1 ms of the recomputed value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Scores (normalised criteria, SAW score)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Accurate if within ±0.01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Percentages (accuracy, valid-answer rate)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Accurate if within ±0.1 percentage points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Energy and cost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Accurate if within ±1% of the recomputed value</w:t>
            </w:r>
          </w:p>
        </w:tc>
      </w:tr>
      <w:tr>
        <w:tc>
          <w:tcPr>
            <w:tcW w:type="dxa" w:w="39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Counts, labels, hashes, classes and verdicts</w:t>
            </w:r>
          </w:p>
        </w:tc>
        <w:tc>
          <w:tcPr>
            <w:tcW w:type="dxa" w:w="437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Accurate only if exactly the same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3.31: Test Dataset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Record every test dataset here before using it. Include a labelled CSV with a known number of flows in each class, a PCAP with known traffic, a CSV without a label column and one finished session for each of two and three models.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755"/>
        <w:gridCol w:w="2517"/>
        <w:gridCol w:w="1091"/>
        <w:gridCol w:w="923"/>
        <w:gridCol w:w="1007"/>
        <w:gridCol w:w="2014"/>
      </w:tblGrid>
      <w:tr>
        <w:trPr>
          <w:tblHeader w:val="true"/>
        </w:trPr>
        <w:tc>
          <w:tcPr>
            <w:tcW w:type="dxa" w:w="755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No.</w:t>
            </w:r>
          </w:p>
        </w:tc>
        <w:tc>
          <w:tcPr>
            <w:tcW w:type="dxa" w:w="2517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Dataset</w:t>
            </w:r>
          </w:p>
        </w:tc>
        <w:tc>
          <w:tcPr>
            <w:tcW w:type="dxa" w:w="109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Format</w:t>
            </w:r>
          </w:p>
        </w:tc>
        <w:tc>
          <w:tcPr>
            <w:tcW w:type="dxa" w:w="92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Flows / Rows</w:t>
            </w:r>
          </w:p>
        </w:tc>
        <w:tc>
          <w:tcPr>
            <w:tcW w:type="dxa" w:w="1007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Labelled</w:t>
            </w:r>
          </w:p>
        </w:tc>
        <w:tc>
          <w:tcPr>
            <w:tcW w:type="dxa" w:w="201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Used For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Labelled flows, 10 per class (5 classes)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Preparation, measurement and scoring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D02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Sample capture with known traffic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PCAP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PCAP-to-flow conversion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D03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Labelled flows with the label column under a different name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 column detection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D04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Flows with the label column removed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Missing-label handling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D05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Prepared set of D01 with one value edited in features.csv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Prepared set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Integrity check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D06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 prepared on the GPU server instead of the browser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Prepared set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Browser and server consistency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D07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Finished session: 2 models on D01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Session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Measurement, energy, cost and scoring</w:t>
            </w:r>
          </w:p>
        </w:tc>
      </w:tr>
      <w:tr>
        <w:tc>
          <w:tcPr>
            <w:tcW w:type="dxa" w:w="755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D08</w:t>
            </w:r>
          </w:p>
        </w:tc>
        <w:tc>
          <w:tcPr>
            <w:tcW w:type="dxa" w:w="251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Finished session: 3 models on D01</w:t>
            </w:r>
          </w:p>
        </w:tc>
        <w:tc>
          <w:tcPr>
            <w:tcW w:type="dxa" w:w="10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Session</w:t>
            </w:r>
          </w:p>
        </w:tc>
        <w:tc>
          <w:tcPr>
            <w:tcW w:type="dxa" w:w="92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007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1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Statistical tests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3.32: Data Preparation Accuracy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18"/>
        <w:gridCol w:w="1749"/>
        <w:gridCol w:w="2492"/>
        <w:gridCol w:w="1049"/>
        <w:gridCol w:w="1049"/>
        <w:gridCol w:w="1049"/>
      </w:tblGrid>
      <w:tr>
        <w:trPr>
          <w:tblHeader w:val="true"/>
        </w:trPr>
        <w:tc>
          <w:tcPr>
            <w:tcW w:type="dxa" w:w="918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17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Check</w:t>
            </w:r>
          </w:p>
        </w:tc>
        <w:tc>
          <w:tcPr>
            <w:tcW w:type="dxa" w:w="249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Formula / Method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Manual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(✓ / ✗)</w:t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DP-01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Flows in the prepared set (D01)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Count the rows of features.csv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DP-02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Flows per class after selection (D01)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Count each class in labels.csv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DP-03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 column found (D03)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of the column that holds the class labels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DP-04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Labels hidden from the models (D01)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 features.csv for the label column and the class names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0 found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DP-05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Features and labels line up (D01)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Same flow IDs in the same order in features.csv and labels.csv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DP-06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Flows from the capture (D02)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Number of flows in the known traffic of the capture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DP-07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Flow features per flow (D02)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Count the feature columns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78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DP-08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SHA-256 of features.csv (D01)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sha256sum (Linux) or Get-FileHash (Windows) compared with manifest.json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DP-09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Browser and server give the same set (D01, D06)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Compare the prepared-set hashes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identical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DP-10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Edited set is refused (D05)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Re-upload the set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rejected, hash mismatch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DP-11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Missing label column is reported (D04)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Prepare the file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stops with a no-label message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3.33: Classification Output Mapping Accuracy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Decide agent's reply is mapped to one of the five classes (Brute Force, Volumetric DDoS, Port Scanning, DoS Hulk, Benign). An exact class name wins first, then a known short form; anything else is recorded as Unparseable and never guessed.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04"/>
        <w:gridCol w:w="3013"/>
        <w:gridCol w:w="1721"/>
        <w:gridCol w:w="1549"/>
        <w:gridCol w:w="1119"/>
      </w:tblGrid>
      <w:tr>
        <w:trPr>
          <w:tblHeader w:val="true"/>
        </w:trPr>
        <w:tc>
          <w:tcPr>
            <w:tcW w:type="dxa" w:w="90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301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Decide Agent Output</w:t>
            </w:r>
          </w:p>
        </w:tc>
        <w:tc>
          <w:tcPr>
            <w:tcW w:type="dxa" w:w="172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Expected Class</w:t>
            </w:r>
          </w:p>
        </w:tc>
        <w:tc>
          <w:tcPr>
            <w:tcW w:type="dxa" w:w="15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Class</w:t>
            </w:r>
          </w:p>
        </w:tc>
        <w:tc>
          <w:tcPr>
            <w:tcW w:type="dxa" w:w="111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Correct (✓ / ✗)</w:t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OM-01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Brute Force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Brute Force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OM-02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This looks like a brute-force login attempt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Brute Force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OM-03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DDoS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Volumetric DDoS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OM-04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scan detected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Scanning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OM-05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Hulk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DoS Hulk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OM-06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normal traffic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Benign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OM-07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Scanning, possibly DDoS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Scanning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OM-08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DoS attack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Unparseable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OM-09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 am not sure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Unparseable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0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OM-10</w:t>
            </w:r>
          </w:p>
        </w:tc>
        <w:tc>
          <w:tcPr>
            <w:tcW w:type="dxa" w:w="30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(empty reply)</w:t>
            </w:r>
          </w:p>
        </w:tc>
        <w:tc>
          <w:tcPr>
            <w:tcW w:type="dxa" w:w="172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Unparseable</w:t>
            </w:r>
          </w:p>
        </w:tc>
        <w:tc>
          <w:tcPr>
            <w:tcW w:type="dxa" w:w="15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11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3.34: Per-Agent Measurement Accuracy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Use session D07. Recompute each value for one model from the per-flow and per-agent rows in the session's results file.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18"/>
        <w:gridCol w:w="1749"/>
        <w:gridCol w:w="2492"/>
        <w:gridCol w:w="1049"/>
        <w:gridCol w:w="1049"/>
        <w:gridCol w:w="1049"/>
      </w:tblGrid>
      <w:tr>
        <w:trPr>
          <w:tblHeader w:val="true"/>
        </w:trPr>
        <w:tc>
          <w:tcPr>
            <w:tcW w:type="dxa" w:w="918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17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Metric</w:t>
            </w:r>
          </w:p>
        </w:tc>
        <w:tc>
          <w:tcPr>
            <w:tcW w:type="dxa" w:w="249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Formula / Method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Manual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(✓ / ✗)</w:t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PM-01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Agent records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Number of agents × number of flows × number of models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PM-02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latency per flow (s)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Σ flow times ÷ number of flows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PM-03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p95 latency per flow (s)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95th percentile of the flow times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PM-04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wall time per agent (s)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Σ the agent's wall times ÷ number of flows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PM-05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time to first token per agent (s)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Σ the agent's TTFT ÷ number of flows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PM-06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tokens per flow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Σ (input + output tokens) of all agents ÷ number of flows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PM-07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Peak GPU memory (MB)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Largest flow peak memory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PM-08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Costliest agent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Agent with the largest mean wall time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PM-09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Telemetry does not change timing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latency of two runs, one with the live telemetry panel open and one closed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Expected: difference within the run-to-run spread on Trends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3.35: Energy and Cost Accuracy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Use session D07 and the GPU power samples recorded during it. P = board power in watts, Δt = time between samples in seconds, T = the model's run time in seconds, n = number of flows.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18"/>
        <w:gridCol w:w="1749"/>
        <w:gridCol w:w="2492"/>
        <w:gridCol w:w="1049"/>
        <w:gridCol w:w="1049"/>
        <w:gridCol w:w="1049"/>
      </w:tblGrid>
      <w:tr>
        <w:trPr>
          <w:tblHeader w:val="true"/>
        </w:trPr>
        <w:tc>
          <w:tcPr>
            <w:tcW w:type="dxa" w:w="918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17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Metric</w:t>
            </w:r>
          </w:p>
        </w:tc>
        <w:tc>
          <w:tcPr>
            <w:tcW w:type="dxa" w:w="249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Formula / Method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Manual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(✓ / ✗)</w:t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EC-01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Idle GPU power (W)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board power in the idle window before the model starts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EC-02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Net energy per flow (Wh)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(Σ Pᵢ × Δt − P_idle × T) ÷ 3,600 ÷ n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EC-03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GPU price per hour (USD)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Price of the instance on the Vast.ai console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EC-04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Cost per 1,000 flows (USD)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Mean latency per flow (s) × 1,000 ÷ 3,600 × price per hour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EC-05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Cost per valid answer (USD)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Cost of the run ÷ number of valid answers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EC-06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Tokens per Wh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Total tokens ÷ net energy (Wh)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3.36: Scoring Accuracy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Use session D07. Targets are those shown in the session (by default latency 5 s, GPU memory 16,000 MB and 1,200 tokens per flow). The efficiency-only SAW score leaves accuracy out and rescales the remaining weights (latency 0.25, memory 0.20, tokens 0.15) so they add up to 1.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18"/>
        <w:gridCol w:w="1749"/>
        <w:gridCol w:w="2492"/>
        <w:gridCol w:w="1049"/>
        <w:gridCol w:w="1049"/>
        <w:gridCol w:w="1049"/>
      </w:tblGrid>
      <w:tr>
        <w:trPr>
          <w:tblHeader w:val="true"/>
        </w:trPr>
        <w:tc>
          <w:tcPr>
            <w:tcW w:type="dxa" w:w="918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17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Metric</w:t>
            </w:r>
          </w:p>
        </w:tc>
        <w:tc>
          <w:tcPr>
            <w:tcW w:type="dxa" w:w="2492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Formula / Method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Manual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Result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(✓ / ✗)</w:t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SC-01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Accuracy (%)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Correct predictions ÷ number of flows × 100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SC-02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Valid-answer rate (%)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(Flows − Unparseable − empty replies) ÷ number of flows × 100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SC-03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Latency score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min(1, latency target ÷ mean latency)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SC-04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GPU memory score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min(1, memory target ÷ peak GPU memory)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SC-05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Token score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min(1, token target ÷ mean tokens per flow)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SC-06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Efficiency-only SAW score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(0.25 × latency + 0.20 × memory + 0.15 × token score) ÷ 0.60 × 100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SC-07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More efficient model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 with the higher SAW score (a tie when within 0.5 points)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SC-08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Sensitivity ranking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Recompute the SAW score with each alternative weight set and rank the models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8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SC-09</w:t>
            </w:r>
          </w:p>
        </w:tc>
        <w:tc>
          <w:tcPr>
            <w:tcW w:type="dxa" w:w="17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Limit check (meets / fails)</w:t>
            </w:r>
          </w:p>
        </w:tc>
        <w:tc>
          <w:tcPr>
            <w:tcW w:type="dxa" w:w="2492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Compare mean and p95 latency, peak memory and cost per 1,000 flows with the user's limits</w:t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3.37: Statistical Test Accuracy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4"/>
        </w:rPr>
        <w:t>Use session D08 (three models). Reference values come from an independent run of the same test, in SciPy and scikit-posthocs or in SPSS, on the per-flow latencies. The bootstrap uses a fixed seed, so the same seed must give the same result.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13"/>
        <w:gridCol w:w="2131"/>
        <w:gridCol w:w="2131"/>
        <w:gridCol w:w="1044"/>
        <w:gridCol w:w="1044"/>
        <w:gridCol w:w="1044"/>
      </w:tblGrid>
      <w:tr>
        <w:trPr>
          <w:tblHeader w:val="true"/>
        </w:trPr>
        <w:tc>
          <w:tcPr>
            <w:tcW w:type="dxa" w:w="913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213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</w:t>
            </w:r>
          </w:p>
        </w:tc>
        <w:tc>
          <w:tcPr>
            <w:tcW w:type="dxa" w:w="213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Reference Method</w:t>
            </w:r>
          </w:p>
        </w:tc>
        <w:tc>
          <w:tcPr>
            <w:tcW w:type="dxa" w:w="104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Reference Value</w:t>
            </w:r>
          </w:p>
        </w:tc>
        <w:tc>
          <w:tcPr>
            <w:tcW w:type="dxa" w:w="104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System Value</w:t>
            </w:r>
          </w:p>
        </w:tc>
        <w:tc>
          <w:tcPr>
            <w:tcW w:type="dxa" w:w="104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(✓ / ✗)</w:t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ST-01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Kruskal-Wallis H statistic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scipy.stats.kruskal or SPSS Kruskal-Wallis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ST-02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Kruskal-Wallis p-value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scipy.stats.kruskal or SPSS Kruskal-Wallis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ST-03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Dunn post-hoc p-value (each pair, Holm-adjusted)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scikit_posthocs.posthoc_dunn(p_adjust = "holm")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ST-04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Significant difference (α = 0.05)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Significant when the adjusted p-value &lt; 0.05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ST-05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Bootstrap 95% confidence interval of the latency difference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Paired bootstrap with the same seed and number of resamples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13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ST-06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Ranking stability (share of resamples keeping the top model)</w:t>
            </w:r>
          </w:p>
        </w:tc>
        <w:tc>
          <w:tcPr>
            <w:tcW w:type="dxa" w:w="213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Paired bootstrap with the same seed and number of resamples</w:t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0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3.38: Accuracy Testing Summary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3534"/>
        <w:gridCol w:w="1591"/>
        <w:gridCol w:w="1591"/>
        <w:gridCol w:w="1591"/>
      </w:tblGrid>
      <w:tr>
        <w:trPr>
          <w:tblHeader w:val="true"/>
        </w:trPr>
        <w:tc>
          <w:tcPr>
            <w:tcW w:type="dxa" w:w="353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Component</w:t>
            </w:r>
          </w:p>
        </w:tc>
        <w:tc>
          <w:tcPr>
            <w:tcW w:type="dxa" w:w="159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Number of Tests</w:t>
            </w:r>
          </w:p>
        </w:tc>
        <w:tc>
          <w:tcPr>
            <w:tcW w:type="dxa" w:w="159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Accurate Results</w:t>
            </w:r>
          </w:p>
        </w:tc>
        <w:tc>
          <w:tcPr>
            <w:tcW w:type="dxa" w:w="1591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Accuracy (%)</w:t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 preparation (DP)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Classification output mapping (OM)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Per-agent measurement (PM)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Energy and cost (EC)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Scoring (SC)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Statistical tests (ST)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53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Overall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51</w:t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591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BB44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qFormat="1" w:uiPriority="39" w:name="toc 8"/>
    <w:lsdException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line number"/>
    <w:semiHidden/>
    <w:unhideWhenUsed/>
    <w:qFormat/>
    <w:uiPriority w:val="99"/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styleId="18">
    <w:name w:val="toc 1"/>
    <w:basedOn w:val="1"/>
    <w:next w:val="1"/>
    <w:semiHidden/>
    <w:unhideWhenUsed/>
    <w:uiPriority w:val="39"/>
    <w:pPr>
      <w:spacing w:after="100"/>
    </w:pPr>
  </w:style>
  <w:style w:type="paragraph" w:styleId="19">
    <w:name w:val="toc 2"/>
    <w:basedOn w:val="1"/>
    <w:next w:val="1"/>
    <w:semiHidden/>
    <w:unhideWhenUsed/>
    <w:uiPriority w:val="39"/>
    <w:pPr>
      <w:spacing w:after="100"/>
      <w:ind w:left="240"/>
    </w:pPr>
  </w:style>
  <w:style w:type="paragraph" w:styleId="20">
    <w:name w:val="toc 3"/>
    <w:basedOn w:val="1"/>
    <w:next w:val="1"/>
    <w:semiHidden/>
    <w:unhideWhenUsed/>
    <w:uiPriority w:val="39"/>
    <w:pPr>
      <w:spacing w:after="100"/>
      <w:ind w:left="480"/>
    </w:pPr>
  </w:style>
  <w:style w:type="paragraph" w:styleId="21">
    <w:name w:val="toc 4"/>
    <w:basedOn w:val="1"/>
    <w:next w:val="1"/>
    <w:semiHidden/>
    <w:unhideWhenUsed/>
    <w:uiPriority w:val="39"/>
    <w:pPr>
      <w:spacing w:after="100"/>
      <w:ind w:left="720"/>
    </w:pPr>
  </w:style>
  <w:style w:type="paragraph" w:styleId="22">
    <w:name w:val="toc 5"/>
    <w:basedOn w:val="1"/>
    <w:next w:val="1"/>
    <w:semiHidden/>
    <w:unhideWhenUsed/>
    <w:uiPriority w:val="39"/>
    <w:pPr>
      <w:spacing w:after="100"/>
      <w:ind w:left="960"/>
    </w:pPr>
  </w:style>
  <w:style w:type="paragraph" w:styleId="23">
    <w:name w:val="toc 6"/>
    <w:basedOn w:val="1"/>
    <w:next w:val="1"/>
    <w:semiHidden/>
    <w:unhideWhenUsed/>
    <w:uiPriority w:val="39"/>
    <w:pPr>
      <w:spacing w:after="100"/>
      <w:ind w:left="1200"/>
    </w:pPr>
  </w:style>
  <w:style w:type="paragraph" w:styleId="24">
    <w:name w:val="toc 7"/>
    <w:basedOn w:val="1"/>
    <w:next w:val="1"/>
    <w:semiHidden/>
    <w:unhideWhenUsed/>
    <w:uiPriority w:val="39"/>
    <w:pPr>
      <w:spacing w:after="100"/>
      <w:ind w:left="1440"/>
    </w:pPr>
  </w:style>
  <w:style w:type="paragraph" w:styleId="25">
    <w:name w:val="toc 8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26">
    <w:name w:val="toc 9"/>
    <w:basedOn w:val="1"/>
    <w:next w:val="1"/>
    <w:semiHidden/>
    <w:unhideWhenUsed/>
    <w:uiPriority w:val="39"/>
    <w:pPr>
      <w:spacing w:after="100"/>
      <w:ind w:left="1920"/>
    </w:p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2654</Words>
  <Characters>12924</Characters>
  <TotalTime>0</TotalTime>
  <ScaleCrop>false</ScaleCrop>
  <LinksUpToDate>false</LinksUpToDate>
  <CharactersWithSpaces>15164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2026-10-28T08:23:00Z</dcterms:created>
  <dc:creator>Un-named</dc:creator>
  <cp:lastModifiedBy>afif sani</cp:lastModifiedBy>
  <dcterms:modified xsi:type="dcterms:W3CDTF">2026-10-28T09:27:57Z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eyJoZGlkIjoiNjdkOTA2NDAzOTU2ZWY3OWNlZTU4ZjVjMjc3MjJhZDMiLCJ1c2VySWQiOiIxMTE2OTc1OTQ0NTE3In0=</vt:lpwstr>
  </property>
  <property fmtid="{D5CDD505-2E9C-101B-9397-08002B2CF9AE}" pid="3" name="KSOProductBuildVer">
    <vt:lpwstr>1033-12.1.0.29162</vt:lpwstr>
  </property>
  <property fmtid="{D5CDD505-2E9C-101B-9397-08002B2CF9AE}" pid="4" name="ICV">
    <vt:lpwstr>E447323667734054A869E7A157C17AF4_12</vt:lpwstr>
  </property>
</Properties>
</file>