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ascii="Times New Roman" w:hAnsi="Times New Roman" w:eastAsia="Times New Roman"/>
          <w:b/>
          <w:i w:val="0"/>
          <w:sz w:val="24"/>
        </w:rPr>
        <w:t>Modules</w:t>
      </w:r>
    </w:p>
    <w:p>
      <w:pPr>
        <w:spacing w:after="80"/>
      </w:pPr>
      <w:r>
        <w:rPr>
          <w:rFonts w:ascii="Times New Roman" w:hAnsi="Times New Roman" w:eastAsia="Times New Roman"/>
          <w:b/>
          <w:i w:val="0"/>
          <w:sz w:val="24"/>
        </w:rPr>
        <w:t>Table 3.27: Core Platform &amp; User Operations Module</w:t>
      </w:r>
    </w:p>
    <w:tbl>
      <w:tblP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306" w:type="dxa"/>
      </w:tblPr>
      <w:tblGrid>
        <w:gridCol w:w="787"/>
        <w:gridCol w:w="2098"/>
        <w:gridCol w:w="5421"/>
      </w:tblGrid>
      <w:tr>
        <w:trPr>
          <w:tblHeader w:val="true"/>
        </w:trPr>
        <w:tc>
          <w:tcPr>
            <w:tcW w:type="dxa" w:w="787"/>
            <w:shd w:val="clear" w:color="auto" w:fill="D9D9D9"/>
          </w:tcPr>
          <w:p>
            <w:pPr>
              <w:spacing w:after="0" w:line="264" w:lineRule="auto"/>
            </w:pPr>
            <w:r>
              <w:rPr>
                <w:rFonts w:ascii="Times New Roman" w:hAnsi="Times New Roman" w:eastAsia="Times New Roman"/>
                <w:b/>
                <w:i w:val="0"/>
                <w:sz w:val="24"/>
              </w:rPr>
              <w:t>No.</w:t>
            </w:r>
          </w:p>
        </w:tc>
        <w:tc>
          <w:tcPr>
            <w:tcW w:type="dxa" w:w="2098"/>
            <w:shd w:val="clear" w:color="auto" w:fill="D9D9D9"/>
          </w:tcPr>
          <w:p>
            <w:pPr>
              <w:spacing w:after="0" w:line="264" w:lineRule="auto"/>
            </w:pPr>
            <w:r>
              <w:rPr>
                <w:rFonts w:ascii="Times New Roman" w:hAnsi="Times New Roman" w:eastAsia="Times New Roman"/>
                <w:b/>
                <w:i w:val="0"/>
                <w:sz w:val="24"/>
              </w:rPr>
              <w:t>Module</w:t>
            </w:r>
          </w:p>
        </w:tc>
        <w:tc>
          <w:tcPr>
            <w:tcW w:type="dxa" w:w="5421"/>
            <w:shd w:val="clear" w:color="auto" w:fill="D9D9D9"/>
          </w:tcPr>
          <w:p>
            <w:pPr>
              <w:spacing w:after="0" w:line="264" w:lineRule="auto"/>
            </w:pPr>
            <w:r>
              <w:rPr>
                <w:rFonts w:ascii="Times New Roman" w:hAnsi="Times New Roman" w:eastAsia="Times New Roman"/>
                <w:b/>
                <w:i w:val="0"/>
                <w:sz w:val="24"/>
              </w:rPr>
              <w:t>Description</w:t>
            </w:r>
          </w:p>
        </w:tc>
      </w:tr>
      <w:tr>
        <w:tc>
          <w:tcPr>
            <w:tcW w:type="dxa" w:w="787"/>
          </w:tcPr>
          <w:p>
            <w:pPr>
              <w:spacing w:after="0" w:line="264" w:lineRule="auto"/>
            </w:pPr>
            <w:r>
              <w:rPr>
                <w:rFonts w:ascii="Times New Roman" w:hAnsi="Times New Roman" w:eastAsia="Times New Roman"/>
                <w:b w:val="0"/>
                <w:i w:val="0"/>
                <w:sz w:val="24"/>
              </w:rPr>
              <w:t>U01</w:t>
            </w:r>
          </w:p>
        </w:tc>
        <w:tc>
          <w:tcPr>
            <w:tcW w:type="dxa" w:w="2098"/>
          </w:tcPr>
          <w:p>
            <w:pPr>
              <w:spacing w:after="0" w:line="264" w:lineRule="auto"/>
            </w:pPr>
            <w:r>
              <w:rPr>
                <w:rFonts w:ascii="Times New Roman" w:hAnsi="Times New Roman" w:eastAsia="Times New Roman"/>
                <w:b w:val="0"/>
                <w:i w:val="0"/>
                <w:sz w:val="24"/>
              </w:rPr>
              <w:t>User Authentication &amp; Account Management</w:t>
            </w:r>
          </w:p>
        </w:tc>
        <w:tc>
          <w:tcPr>
            <w:tcW w:type="dxa" w:w="5421"/>
          </w:tcPr>
          <w:p>
            <w:pPr>
              <w:spacing w:after="0" w:line="264" w:lineRule="auto"/>
            </w:pPr>
            <w:r>
              <w:rPr>
                <w:rFonts w:ascii="Times New Roman" w:hAnsi="Times New Roman" w:eastAsia="Times New Roman"/>
                <w:b w:val="0"/>
                <w:i w:val="0"/>
                <w:sz w:val="24"/>
              </w:rPr>
              <w:t>Validates the credentials of authorised SOC personnel against salted password hashes, blocks login after repeated failed attempts, and forces a password change at first login. Administrators create, disable and manage user accounts.</w:t>
            </w:r>
          </w:p>
        </w:tc>
      </w:tr>
      <w:tr>
        <w:tc>
          <w:tcPr>
            <w:tcW w:type="dxa" w:w="787"/>
          </w:tcPr>
          <w:p>
            <w:pPr>
              <w:spacing w:after="0" w:line="264" w:lineRule="auto"/>
            </w:pPr>
            <w:r>
              <w:rPr>
                <w:rFonts w:ascii="Times New Roman" w:hAnsi="Times New Roman" w:eastAsia="Times New Roman"/>
                <w:b w:val="0"/>
                <w:i w:val="0"/>
                <w:sz w:val="24"/>
              </w:rPr>
              <w:t>U02</w:t>
            </w:r>
          </w:p>
        </w:tc>
        <w:tc>
          <w:tcPr>
            <w:tcW w:type="dxa" w:w="2098"/>
          </w:tcPr>
          <w:p>
            <w:pPr>
              <w:spacing w:after="0" w:line="264" w:lineRule="auto"/>
            </w:pPr>
            <w:r>
              <w:rPr>
                <w:rFonts w:ascii="Times New Roman" w:hAnsi="Times New Roman" w:eastAsia="Times New Roman"/>
                <w:b w:val="0"/>
                <w:i w:val="0"/>
                <w:sz w:val="24"/>
              </w:rPr>
              <w:t>Benchmark Wizard</w:t>
            </w:r>
          </w:p>
        </w:tc>
        <w:tc>
          <w:tcPr>
            <w:tcW w:type="dxa" w:w="5421"/>
          </w:tcPr>
          <w:p>
            <w:pPr>
              <w:spacing w:after="0" w:line="264" w:lineRule="auto"/>
            </w:pPr>
            <w:r>
              <w:rPr>
                <w:rFonts w:ascii="Times New Roman" w:hAnsi="Times New Roman" w:eastAsia="Times New Roman"/>
                <w:b w:val="0"/>
                <w:i w:val="0"/>
                <w:sz w:val="24"/>
              </w:rPr>
              <w:t>Guides the user step by step through uploading a dataset, selecting two to four language models, choosing the agent pipeline settings and starting the benchmark.</w:t>
            </w:r>
          </w:p>
        </w:tc>
      </w:tr>
      <w:tr>
        <w:tc>
          <w:tcPr>
            <w:tcW w:type="dxa" w:w="787"/>
          </w:tcPr>
          <w:p>
            <w:pPr>
              <w:spacing w:after="0" w:line="264" w:lineRule="auto"/>
            </w:pPr>
            <w:r>
              <w:rPr>
                <w:rFonts w:ascii="Times New Roman" w:hAnsi="Times New Roman" w:eastAsia="Times New Roman"/>
                <w:b w:val="0"/>
                <w:i w:val="0"/>
                <w:sz w:val="24"/>
              </w:rPr>
              <w:t>U03</w:t>
            </w:r>
          </w:p>
        </w:tc>
        <w:tc>
          <w:tcPr>
            <w:tcW w:type="dxa" w:w="2098"/>
          </w:tcPr>
          <w:p>
            <w:pPr>
              <w:spacing w:after="0" w:line="264" w:lineRule="auto"/>
            </w:pPr>
            <w:r>
              <w:rPr>
                <w:rFonts w:ascii="Times New Roman" w:hAnsi="Times New Roman" w:eastAsia="Times New Roman"/>
                <w:b w:val="0"/>
                <w:i w:val="0"/>
                <w:sz w:val="24"/>
              </w:rPr>
              <w:t>Live Telemetry Dashboard</w:t>
            </w:r>
          </w:p>
        </w:tc>
        <w:tc>
          <w:tcPr>
            <w:tcW w:type="dxa" w:w="5421"/>
          </w:tcPr>
          <w:p>
            <w:pPr>
              <w:spacing w:after="0" w:line="264" w:lineRule="auto"/>
            </w:pPr>
            <w:r>
              <w:rPr>
                <w:rFonts w:ascii="Times New Roman" w:hAnsi="Times New Roman" w:eastAsia="Times New Roman"/>
                <w:b w:val="0"/>
                <w:i w:val="0"/>
                <w:sz w:val="24"/>
              </w:rPr>
              <w:t>Displays the progress of a running benchmark in real time, including model download, 4-bit model loading, each flow passing through the agents, and live GPU utilisation, memory and power readings.</w:t>
            </w:r>
          </w:p>
        </w:tc>
      </w:tr>
      <w:tr>
        <w:tc>
          <w:tcPr>
            <w:tcW w:type="dxa" w:w="787"/>
          </w:tcPr>
          <w:p>
            <w:pPr>
              <w:spacing w:after="0" w:line="264" w:lineRule="auto"/>
            </w:pPr>
            <w:r>
              <w:rPr>
                <w:rFonts w:ascii="Times New Roman" w:hAnsi="Times New Roman" w:eastAsia="Times New Roman"/>
                <w:b w:val="0"/>
                <w:i w:val="0"/>
                <w:sz w:val="24"/>
              </w:rPr>
              <w:t>U04</w:t>
            </w:r>
          </w:p>
        </w:tc>
        <w:tc>
          <w:tcPr>
            <w:tcW w:type="dxa" w:w="2098"/>
          </w:tcPr>
          <w:p>
            <w:pPr>
              <w:spacing w:after="0" w:line="264" w:lineRule="auto"/>
            </w:pPr>
            <w:r>
              <w:rPr>
                <w:rFonts w:ascii="Times New Roman" w:hAnsi="Times New Roman" w:eastAsia="Times New Roman"/>
                <w:b w:val="0"/>
                <w:i w:val="0"/>
                <w:sz w:val="24"/>
              </w:rPr>
              <w:t>Session History &amp; Results Review</w:t>
            </w:r>
          </w:p>
        </w:tc>
        <w:tc>
          <w:tcPr>
            <w:tcW w:type="dxa" w:w="5421"/>
          </w:tcPr>
          <w:p>
            <w:pPr>
              <w:spacing w:after="0" w:line="264" w:lineRule="auto"/>
            </w:pPr>
            <w:r>
              <w:rPr>
                <w:rFonts w:ascii="Times New Roman" w:hAnsi="Times New Roman" w:eastAsia="Times New Roman"/>
                <w:b w:val="0"/>
                <w:i w:val="0"/>
                <w:sz w:val="24"/>
              </w:rPr>
              <w:t>Retrieves past benchmark sessions from the Supabase database and displays their results and analyses, grouped into Overview, Reliability, Performance, Agents and Cost.</w:t>
            </w:r>
          </w:p>
        </w:tc>
      </w:tr>
      <w:tr>
        <w:tc>
          <w:tcPr>
            <w:tcW w:type="dxa" w:w="787"/>
          </w:tcPr>
          <w:p>
            <w:pPr>
              <w:spacing w:after="0" w:line="264" w:lineRule="auto"/>
            </w:pPr>
            <w:r>
              <w:rPr>
                <w:rFonts w:ascii="Times New Roman" w:hAnsi="Times New Roman" w:eastAsia="Times New Roman"/>
                <w:b w:val="0"/>
                <w:i w:val="0"/>
                <w:sz w:val="24"/>
              </w:rPr>
              <w:t>U05</w:t>
            </w:r>
          </w:p>
        </w:tc>
        <w:tc>
          <w:tcPr>
            <w:tcW w:type="dxa" w:w="2098"/>
          </w:tcPr>
          <w:p>
            <w:pPr>
              <w:spacing w:after="0" w:line="264" w:lineRule="auto"/>
            </w:pPr>
            <w:r>
              <w:rPr>
                <w:rFonts w:ascii="Times New Roman" w:hAnsi="Times New Roman" w:eastAsia="Times New Roman"/>
                <w:b w:val="0"/>
                <w:i w:val="0"/>
                <w:sz w:val="24"/>
              </w:rPr>
              <w:t>Model Comparison, Leaderboard &amp; Trends</w:t>
            </w:r>
          </w:p>
        </w:tc>
        <w:tc>
          <w:tcPr>
            <w:tcW w:type="dxa" w:w="5421"/>
          </w:tcPr>
          <w:p>
            <w:pPr>
              <w:spacing w:after="0" w:line="264" w:lineRule="auto"/>
            </w:pPr>
            <w:r>
              <w:rPr>
                <w:rFonts w:ascii="Times New Roman" w:hAnsi="Times New Roman" w:eastAsia="Times New Roman"/>
                <w:b w:val="0"/>
                <w:i w:val="0"/>
                <w:sz w:val="24"/>
              </w:rPr>
              <w:t>Compares sessions run on the same prepared dataset, ranks the models on a leaderboard, and shows how results change over time through scheduled re-runs.</w:t>
            </w:r>
          </w:p>
        </w:tc>
      </w:tr>
      <w:tr>
        <w:tc>
          <w:tcPr>
            <w:tcW w:type="dxa" w:w="787"/>
          </w:tcPr>
          <w:p>
            <w:pPr>
              <w:spacing w:after="0" w:line="264" w:lineRule="auto"/>
            </w:pPr>
            <w:r>
              <w:rPr>
                <w:rFonts w:ascii="Times New Roman" w:hAnsi="Times New Roman" w:eastAsia="Times New Roman"/>
                <w:b w:val="0"/>
                <w:i w:val="0"/>
                <w:sz w:val="24"/>
              </w:rPr>
              <w:t>U06</w:t>
            </w:r>
          </w:p>
        </w:tc>
        <w:tc>
          <w:tcPr>
            <w:tcW w:type="dxa" w:w="2098"/>
          </w:tcPr>
          <w:p>
            <w:pPr>
              <w:spacing w:after="0" w:line="264" w:lineRule="auto"/>
            </w:pPr>
            <w:r>
              <w:rPr>
                <w:rFonts w:ascii="Times New Roman" w:hAnsi="Times New Roman" w:eastAsia="Times New Roman"/>
                <w:b w:val="0"/>
                <w:i w:val="0"/>
                <w:sz w:val="24"/>
              </w:rPr>
              <w:t>Benchmark Report Generator</w:t>
            </w:r>
          </w:p>
        </w:tc>
        <w:tc>
          <w:tcPr>
            <w:tcW w:type="dxa" w:w="5421"/>
          </w:tcPr>
          <w:p>
            <w:pPr>
              <w:spacing w:after="0" w:line="264" w:lineRule="auto"/>
            </w:pPr>
            <w:r>
              <w:rPr>
                <w:rFonts w:ascii="Times New Roman" w:hAnsi="Times New Roman" w:eastAsia="Times New Roman"/>
                <w:b w:val="0"/>
                <w:i w:val="0"/>
                <w:sz w:val="24"/>
              </w:rPr>
              <w:t>Generates a downloadable PDF report summarising the results, analyses and recommendation of a completed session.</w:t>
            </w:r>
          </w:p>
        </w:tc>
      </w:tr>
      <w:tr>
        <w:tc>
          <w:tcPr>
            <w:tcW w:type="dxa" w:w="787"/>
          </w:tcPr>
          <w:p>
            <w:pPr>
              <w:spacing w:after="0" w:line="264" w:lineRule="auto"/>
            </w:pPr>
            <w:r>
              <w:rPr>
                <w:rFonts w:ascii="Times New Roman" w:hAnsi="Times New Roman" w:eastAsia="Times New Roman"/>
                <w:b w:val="0"/>
                <w:i w:val="0"/>
                <w:sz w:val="24"/>
              </w:rPr>
              <w:t>U07</w:t>
            </w:r>
          </w:p>
        </w:tc>
        <w:tc>
          <w:tcPr>
            <w:tcW w:type="dxa" w:w="2098"/>
          </w:tcPr>
          <w:p>
            <w:pPr>
              <w:spacing w:after="0" w:line="264" w:lineRule="auto"/>
            </w:pPr>
            <w:r>
              <w:rPr>
                <w:rFonts w:ascii="Times New Roman" w:hAnsi="Times New Roman" w:eastAsia="Times New Roman"/>
                <w:b w:val="0"/>
                <w:i w:val="0"/>
                <w:sz w:val="24"/>
              </w:rPr>
              <w:t>Telegram Notification Dispatcher</w:t>
            </w:r>
          </w:p>
        </w:tc>
        <w:tc>
          <w:tcPr>
            <w:tcW w:type="dxa" w:w="5421"/>
          </w:tcPr>
          <w:p>
            <w:pPr>
              <w:spacing w:after="0" w:line="264" w:lineRule="auto"/>
            </w:pPr>
            <w:r>
              <w:rPr>
                <w:rFonts w:ascii="Times New Roman" w:hAnsi="Times New Roman" w:eastAsia="Times New Roman"/>
                <w:b w:val="0"/>
                <w:i w:val="0"/>
                <w:sz w:val="24"/>
              </w:rPr>
              <w:t>Sends an automated summary containing the session status and the more resource-efficient model to the user’s Telegram account via the Telegram Bot API.</w:t>
            </w:r>
          </w:p>
        </w:tc>
      </w:tr>
    </w:tbl>
    <w:p/>
    <w:p>
      <w:pPr>
        <w:spacing w:after="80"/>
      </w:pPr>
      <w:r>
        <w:rPr>
          <w:rFonts w:ascii="Times New Roman" w:hAnsi="Times New Roman" w:eastAsia="Times New Roman"/>
          <w:b/>
          <w:i w:val="0"/>
          <w:sz w:val="24"/>
        </w:rPr>
        <w:t>Table 3.28: Data Ingestion &amp; Preparation Pipeline Module</w:t>
      </w:r>
    </w:p>
    <w:tbl>
      <w:tblP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306" w:type="dxa"/>
      </w:tblPr>
      <w:tblGrid>
        <w:gridCol w:w="787"/>
        <w:gridCol w:w="2098"/>
        <w:gridCol w:w="5421"/>
      </w:tblGrid>
      <w:tr>
        <w:trPr>
          <w:tblHeader w:val="true"/>
        </w:trPr>
        <w:tc>
          <w:tcPr>
            <w:tcW w:type="dxa" w:w="787"/>
            <w:shd w:val="clear" w:color="auto" w:fill="D9D9D9"/>
          </w:tcPr>
          <w:p>
            <w:pPr>
              <w:spacing w:after="0" w:line="264" w:lineRule="auto"/>
            </w:pPr>
            <w:r>
              <w:rPr>
                <w:rFonts w:ascii="Times New Roman" w:hAnsi="Times New Roman" w:eastAsia="Times New Roman"/>
                <w:b/>
                <w:i w:val="0"/>
                <w:sz w:val="24"/>
              </w:rPr>
              <w:t>No.</w:t>
            </w:r>
          </w:p>
        </w:tc>
        <w:tc>
          <w:tcPr>
            <w:tcW w:type="dxa" w:w="2098"/>
            <w:shd w:val="clear" w:color="auto" w:fill="D9D9D9"/>
          </w:tcPr>
          <w:p>
            <w:pPr>
              <w:spacing w:after="0" w:line="264" w:lineRule="auto"/>
            </w:pPr>
            <w:r>
              <w:rPr>
                <w:rFonts w:ascii="Times New Roman" w:hAnsi="Times New Roman" w:eastAsia="Times New Roman"/>
                <w:b/>
                <w:i w:val="0"/>
                <w:sz w:val="24"/>
              </w:rPr>
              <w:t>Module</w:t>
            </w:r>
          </w:p>
        </w:tc>
        <w:tc>
          <w:tcPr>
            <w:tcW w:type="dxa" w:w="5421"/>
            <w:shd w:val="clear" w:color="auto" w:fill="D9D9D9"/>
          </w:tcPr>
          <w:p>
            <w:pPr>
              <w:spacing w:after="0" w:line="264" w:lineRule="auto"/>
            </w:pPr>
            <w:r>
              <w:rPr>
                <w:rFonts w:ascii="Times New Roman" w:hAnsi="Times New Roman" w:eastAsia="Times New Roman"/>
                <w:b/>
                <w:i w:val="0"/>
                <w:sz w:val="24"/>
              </w:rPr>
              <w:t>Description</w:t>
            </w:r>
          </w:p>
        </w:tc>
      </w:tr>
      <w:tr>
        <w:tc>
          <w:tcPr>
            <w:tcW w:type="dxa" w:w="787"/>
          </w:tcPr>
          <w:p>
            <w:pPr>
              <w:spacing w:after="0" w:line="264" w:lineRule="auto"/>
            </w:pPr>
            <w:r>
              <w:rPr>
                <w:rFonts w:ascii="Times New Roman" w:hAnsi="Times New Roman" w:eastAsia="Times New Roman"/>
                <w:b w:val="0"/>
                <w:i w:val="0"/>
                <w:sz w:val="24"/>
              </w:rPr>
              <w:t>D01</w:t>
            </w:r>
          </w:p>
        </w:tc>
        <w:tc>
          <w:tcPr>
            <w:tcW w:type="dxa" w:w="2098"/>
          </w:tcPr>
          <w:p>
            <w:pPr>
              <w:spacing w:after="0" w:line="264" w:lineRule="auto"/>
            </w:pPr>
            <w:r>
              <w:rPr>
                <w:rFonts w:ascii="Times New Roman" w:hAnsi="Times New Roman" w:eastAsia="Times New Roman"/>
                <w:b w:val="0"/>
                <w:i w:val="0"/>
                <w:sz w:val="24"/>
              </w:rPr>
              <w:t>Dataset Ingestion Handler</w:t>
            </w:r>
          </w:p>
        </w:tc>
        <w:tc>
          <w:tcPr>
            <w:tcW w:type="dxa" w:w="5421"/>
          </w:tcPr>
          <w:p>
            <w:pPr>
              <w:spacing w:after="0" w:line="264" w:lineRule="auto"/>
            </w:pPr>
            <w:r>
              <w:rPr>
                <w:rFonts w:ascii="Times New Roman" w:hAnsi="Times New Roman" w:eastAsia="Times New Roman"/>
                <w:b w:val="0"/>
                <w:i w:val="0"/>
                <w:sz w:val="24"/>
              </w:rPr>
              <w:t>Accepts network security datasets as CSV files or PCAP packet captures, either uploaded or imported from an HTTPS URL. The URL import refuses private, local and non-HTTPS addresses.</w:t>
            </w:r>
          </w:p>
        </w:tc>
      </w:tr>
      <w:tr>
        <w:tc>
          <w:tcPr>
            <w:tcW w:type="dxa" w:w="787"/>
          </w:tcPr>
          <w:p>
            <w:pPr>
              <w:spacing w:after="0" w:line="264" w:lineRule="auto"/>
            </w:pPr>
            <w:r>
              <w:rPr>
                <w:rFonts w:ascii="Times New Roman" w:hAnsi="Times New Roman" w:eastAsia="Times New Roman"/>
                <w:b w:val="0"/>
                <w:i w:val="0"/>
                <w:sz w:val="24"/>
              </w:rPr>
              <w:t>D02</w:t>
            </w:r>
          </w:p>
        </w:tc>
        <w:tc>
          <w:tcPr>
            <w:tcW w:type="dxa" w:w="2098"/>
          </w:tcPr>
          <w:p>
            <w:pPr>
              <w:spacing w:after="0" w:line="264" w:lineRule="auto"/>
            </w:pPr>
            <w:r>
              <w:rPr>
                <w:rFonts w:ascii="Times New Roman" w:hAnsi="Times New Roman" w:eastAsia="Times New Roman"/>
                <w:b w:val="0"/>
                <w:i w:val="0"/>
                <w:sz w:val="24"/>
              </w:rPr>
              <w:t>Browser Preparation Engine</w:t>
            </w:r>
          </w:p>
        </w:tc>
        <w:tc>
          <w:tcPr>
            <w:tcW w:type="dxa" w:w="5421"/>
          </w:tcPr>
          <w:p>
            <w:pPr>
              <w:spacing w:after="0" w:line="264" w:lineRule="auto"/>
            </w:pPr>
            <w:r>
              <w:rPr>
                <w:rFonts w:ascii="Times New Roman" w:hAnsi="Times New Roman" w:eastAsia="Times New Roman"/>
                <w:b w:val="0"/>
                <w:i w:val="0"/>
                <w:sz w:val="24"/>
              </w:rPr>
              <w:t>Runs the same Python preparation code in the user’s web browser using Pyodide in a Web Worker, so datasets can be prepared on the user’s computer while the GPU server is busy benchmarking.</w:t>
            </w:r>
          </w:p>
        </w:tc>
      </w:tr>
      <w:tr>
        <w:tc>
          <w:tcPr>
            <w:tcW w:type="dxa" w:w="787"/>
          </w:tcPr>
          <w:p>
            <w:pPr>
              <w:spacing w:after="0" w:line="264" w:lineRule="auto"/>
            </w:pPr>
            <w:r>
              <w:rPr>
                <w:rFonts w:ascii="Times New Roman" w:hAnsi="Times New Roman" w:eastAsia="Times New Roman"/>
                <w:b w:val="0"/>
                <w:i w:val="0"/>
                <w:sz w:val="24"/>
              </w:rPr>
              <w:t>D03</w:t>
            </w:r>
          </w:p>
        </w:tc>
        <w:tc>
          <w:tcPr>
            <w:tcW w:type="dxa" w:w="2098"/>
          </w:tcPr>
          <w:p>
            <w:pPr>
              <w:spacing w:after="0" w:line="264" w:lineRule="auto"/>
            </w:pPr>
            <w:r>
              <w:rPr>
                <w:rFonts w:ascii="Times New Roman" w:hAnsi="Times New Roman" w:eastAsia="Times New Roman"/>
                <w:b w:val="0"/>
                <w:i w:val="0"/>
                <w:sz w:val="24"/>
              </w:rPr>
              <w:t>PCAP-to-Flow Converter</w:t>
            </w:r>
          </w:p>
        </w:tc>
        <w:tc>
          <w:tcPr>
            <w:tcW w:type="dxa" w:w="5421"/>
          </w:tcPr>
          <w:p>
            <w:pPr>
              <w:spacing w:after="0" w:line="264" w:lineRule="auto"/>
            </w:pPr>
            <w:r>
              <w:rPr>
                <w:rFonts w:ascii="Times New Roman" w:hAnsi="Times New Roman" w:eastAsia="Times New Roman"/>
                <w:b w:val="0"/>
                <w:i w:val="0"/>
                <w:sz w:val="24"/>
              </w:rPr>
              <w:t>Samples large captures by time window and converts packets into network flows with CICFlowMeter, producing the standard set of 78 flow features.</w:t>
            </w:r>
          </w:p>
        </w:tc>
      </w:tr>
      <w:tr>
        <w:tc>
          <w:tcPr>
            <w:tcW w:type="dxa" w:w="787"/>
          </w:tcPr>
          <w:p>
            <w:pPr>
              <w:spacing w:after="0" w:line="264" w:lineRule="auto"/>
            </w:pPr>
            <w:r>
              <w:rPr>
                <w:rFonts w:ascii="Times New Roman" w:hAnsi="Times New Roman" w:eastAsia="Times New Roman"/>
                <w:b w:val="0"/>
                <w:i w:val="0"/>
                <w:sz w:val="24"/>
              </w:rPr>
              <w:t>D04</w:t>
            </w:r>
          </w:p>
        </w:tc>
        <w:tc>
          <w:tcPr>
            <w:tcW w:type="dxa" w:w="2098"/>
          </w:tcPr>
          <w:p>
            <w:pPr>
              <w:spacing w:after="0" w:line="264" w:lineRule="auto"/>
            </w:pPr>
            <w:r>
              <w:rPr>
                <w:rFonts w:ascii="Times New Roman" w:hAnsi="Times New Roman" w:eastAsia="Times New Roman"/>
                <w:b w:val="0"/>
                <w:i w:val="0"/>
                <w:sz w:val="24"/>
              </w:rPr>
              <w:t>Label Detection &amp; Isolation</w:t>
            </w:r>
          </w:p>
        </w:tc>
        <w:tc>
          <w:tcPr>
            <w:tcW w:type="dxa" w:w="5421"/>
          </w:tcPr>
          <w:p>
            <w:pPr>
              <w:spacing w:after="0" w:line="264" w:lineRule="auto"/>
            </w:pPr>
            <w:r>
              <w:rPr>
                <w:rFonts w:ascii="Times New Roman" w:hAnsi="Times New Roman" w:eastAsia="Times New Roman"/>
                <w:b w:val="0"/>
                <w:i w:val="0"/>
                <w:sz w:val="24"/>
              </w:rPr>
              <w:t>Automatically identifies the ground-truth label column from known column names and stores the labels in a separate file, so they are used only for scoring and never shown to the language models.</w:t>
            </w:r>
          </w:p>
        </w:tc>
      </w:tr>
      <w:tr>
        <w:tc>
          <w:tcPr>
            <w:tcW w:type="dxa" w:w="787"/>
          </w:tcPr>
          <w:p>
            <w:pPr>
              <w:spacing w:after="0" w:line="264" w:lineRule="auto"/>
            </w:pPr>
            <w:r>
              <w:rPr>
                <w:rFonts w:ascii="Times New Roman" w:hAnsi="Times New Roman" w:eastAsia="Times New Roman"/>
                <w:b w:val="0"/>
                <w:i w:val="0"/>
                <w:sz w:val="24"/>
              </w:rPr>
              <w:t>D05</w:t>
            </w:r>
          </w:p>
        </w:tc>
        <w:tc>
          <w:tcPr>
            <w:tcW w:type="dxa" w:w="2098"/>
          </w:tcPr>
          <w:p>
            <w:pPr>
              <w:spacing w:after="0" w:line="264" w:lineRule="auto"/>
            </w:pPr>
            <w:r>
              <w:rPr>
                <w:rFonts w:ascii="Times New Roman" w:hAnsi="Times New Roman" w:eastAsia="Times New Roman"/>
                <w:b w:val="0"/>
                <w:i w:val="0"/>
                <w:sz w:val="24"/>
              </w:rPr>
              <w:t>Rule-Based Flow Selection &amp; Sampling</w:t>
            </w:r>
          </w:p>
        </w:tc>
        <w:tc>
          <w:tcPr>
            <w:tcW w:type="dxa" w:w="5421"/>
          </w:tcPr>
          <w:p>
            <w:pPr>
              <w:spacing w:after="0" w:line="264" w:lineRule="auto"/>
            </w:pPr>
            <w:r>
              <w:rPr>
                <w:rFonts w:ascii="Times New Roman" w:hAnsi="Times New Roman" w:eastAsia="Times New Roman"/>
                <w:b w:val="0"/>
                <w:i w:val="0"/>
                <w:sz w:val="24"/>
              </w:rPr>
              <w:t>Selects a bounded, representative subset of flows using rules based only on statistical flow properties (duration, volume, protocol and port), without making any threat judgement.</w:t>
            </w:r>
          </w:p>
        </w:tc>
      </w:tr>
      <w:tr>
        <w:tc>
          <w:tcPr>
            <w:tcW w:type="dxa" w:w="787"/>
          </w:tcPr>
          <w:p>
            <w:pPr>
              <w:spacing w:after="0" w:line="264" w:lineRule="auto"/>
            </w:pPr>
            <w:r>
              <w:rPr>
                <w:rFonts w:ascii="Times New Roman" w:hAnsi="Times New Roman" w:eastAsia="Times New Roman"/>
                <w:b w:val="0"/>
                <w:i w:val="0"/>
                <w:sz w:val="24"/>
              </w:rPr>
              <w:t>D06</w:t>
            </w:r>
          </w:p>
        </w:tc>
        <w:tc>
          <w:tcPr>
            <w:tcW w:type="dxa" w:w="2098"/>
          </w:tcPr>
          <w:p>
            <w:pPr>
              <w:spacing w:after="0" w:line="264" w:lineRule="auto"/>
            </w:pPr>
            <w:r>
              <w:rPr>
                <w:rFonts w:ascii="Times New Roman" w:hAnsi="Times New Roman" w:eastAsia="Times New Roman"/>
                <w:b w:val="0"/>
                <w:i w:val="0"/>
                <w:sz w:val="24"/>
              </w:rPr>
              <w:t>Prepared-Set Integrity Hashing</w:t>
            </w:r>
          </w:p>
        </w:tc>
        <w:tc>
          <w:tcPr>
            <w:tcW w:type="dxa" w:w="5421"/>
          </w:tcPr>
          <w:p>
            <w:pPr>
              <w:spacing w:after="0" w:line="264" w:lineRule="auto"/>
            </w:pPr>
            <w:r>
              <w:rPr>
                <w:rFonts w:ascii="Times New Roman" w:hAnsi="Times New Roman" w:eastAsia="Times New Roman"/>
                <w:b w:val="0"/>
                <w:i w:val="0"/>
                <w:sz w:val="24"/>
              </w:rPr>
              <w:t>Records a SHA-256 hash of the prepared dataset and verifies it when the set is imported, ensuring that models compared on the same data are compared fairly.</w:t>
            </w:r>
          </w:p>
        </w:tc>
      </w:tr>
    </w:tbl>
    <w:p/>
    <w:p>
      <w:pPr>
        <w:spacing w:after="80"/>
      </w:pPr>
      <w:r>
        <w:rPr>
          <w:rFonts w:ascii="Times New Roman" w:hAnsi="Times New Roman" w:eastAsia="Times New Roman"/>
          <w:b/>
          <w:i w:val="0"/>
          <w:sz w:val="24"/>
        </w:rPr>
        <w:t>Table 3.29: LLM Orchestration &amp; Agentic Inference Engine Module</w:t>
      </w:r>
    </w:p>
    <w:tbl>
      <w:tblP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306" w:type="dxa"/>
      </w:tblPr>
      <w:tblGrid>
        <w:gridCol w:w="787"/>
        <w:gridCol w:w="2098"/>
        <w:gridCol w:w="5421"/>
      </w:tblGrid>
      <w:tr>
        <w:trPr>
          <w:tblHeader w:val="true"/>
        </w:trPr>
        <w:tc>
          <w:tcPr>
            <w:tcW w:type="dxa" w:w="787"/>
            <w:shd w:val="clear" w:color="auto" w:fill="D9D9D9"/>
          </w:tcPr>
          <w:p>
            <w:pPr>
              <w:spacing w:after="0" w:line="264" w:lineRule="auto"/>
            </w:pPr>
            <w:r>
              <w:rPr>
                <w:rFonts w:ascii="Times New Roman" w:hAnsi="Times New Roman" w:eastAsia="Times New Roman"/>
                <w:b/>
                <w:i w:val="0"/>
                <w:sz w:val="24"/>
              </w:rPr>
              <w:t>No.</w:t>
            </w:r>
          </w:p>
        </w:tc>
        <w:tc>
          <w:tcPr>
            <w:tcW w:type="dxa" w:w="2098"/>
            <w:shd w:val="clear" w:color="auto" w:fill="D9D9D9"/>
          </w:tcPr>
          <w:p>
            <w:pPr>
              <w:spacing w:after="0" w:line="264" w:lineRule="auto"/>
            </w:pPr>
            <w:r>
              <w:rPr>
                <w:rFonts w:ascii="Times New Roman" w:hAnsi="Times New Roman" w:eastAsia="Times New Roman"/>
                <w:b/>
                <w:i w:val="0"/>
                <w:sz w:val="24"/>
              </w:rPr>
              <w:t>Module</w:t>
            </w:r>
          </w:p>
        </w:tc>
        <w:tc>
          <w:tcPr>
            <w:tcW w:type="dxa" w:w="5421"/>
            <w:shd w:val="clear" w:color="auto" w:fill="D9D9D9"/>
          </w:tcPr>
          <w:p>
            <w:pPr>
              <w:spacing w:after="0" w:line="264" w:lineRule="auto"/>
            </w:pPr>
            <w:r>
              <w:rPr>
                <w:rFonts w:ascii="Times New Roman" w:hAnsi="Times New Roman" w:eastAsia="Times New Roman"/>
                <w:b/>
                <w:i w:val="0"/>
                <w:sz w:val="24"/>
              </w:rPr>
              <w:t>Description</w:t>
            </w:r>
          </w:p>
        </w:tc>
      </w:tr>
      <w:tr>
        <w:tc>
          <w:tcPr>
            <w:tcW w:type="dxa" w:w="787"/>
          </w:tcPr>
          <w:p>
            <w:pPr>
              <w:spacing w:after="0" w:line="264" w:lineRule="auto"/>
            </w:pPr>
            <w:r>
              <w:rPr>
                <w:rFonts w:ascii="Times New Roman" w:hAnsi="Times New Roman" w:eastAsia="Times New Roman"/>
                <w:b w:val="0"/>
                <w:i w:val="0"/>
                <w:sz w:val="24"/>
              </w:rPr>
              <w:t>L01</w:t>
            </w:r>
          </w:p>
        </w:tc>
        <w:tc>
          <w:tcPr>
            <w:tcW w:type="dxa" w:w="2098"/>
          </w:tcPr>
          <w:p>
            <w:pPr>
              <w:spacing w:after="0" w:line="264" w:lineRule="auto"/>
            </w:pPr>
            <w:r>
              <w:rPr>
                <w:rFonts w:ascii="Times New Roman" w:hAnsi="Times New Roman" w:eastAsia="Times New Roman"/>
                <w:b w:val="0"/>
                <w:i w:val="0"/>
                <w:sz w:val="24"/>
              </w:rPr>
              <w:t>Model Catalogue &amp; Suitability Check</w:t>
            </w:r>
          </w:p>
        </w:tc>
        <w:tc>
          <w:tcPr>
            <w:tcW w:type="dxa" w:w="5421"/>
          </w:tcPr>
          <w:p>
            <w:pPr>
              <w:spacing w:after="0" w:line="264" w:lineRule="auto"/>
            </w:pPr>
            <w:r>
              <w:rPr>
                <w:rFonts w:ascii="Times New Roman" w:hAnsi="Times New Roman" w:eastAsia="Times New Roman"/>
                <w:b w:val="0"/>
                <w:i w:val="0"/>
                <w:sz w:val="24"/>
              </w:rPr>
              <w:t>Lists the open-source models available for benchmarking and checks with a rule base that each one can be loaded from its original weights in 4-bit NF4 quantisation on the available GPU.</w:t>
            </w:r>
          </w:p>
        </w:tc>
      </w:tr>
      <w:tr>
        <w:tc>
          <w:tcPr>
            <w:tcW w:type="dxa" w:w="787"/>
          </w:tcPr>
          <w:p>
            <w:pPr>
              <w:spacing w:after="0" w:line="264" w:lineRule="auto"/>
            </w:pPr>
            <w:r>
              <w:rPr>
                <w:rFonts w:ascii="Times New Roman" w:hAnsi="Times New Roman" w:eastAsia="Times New Roman"/>
                <w:b w:val="0"/>
                <w:i w:val="0"/>
                <w:sz w:val="24"/>
              </w:rPr>
              <w:t>L02</w:t>
            </w:r>
          </w:p>
        </w:tc>
        <w:tc>
          <w:tcPr>
            <w:tcW w:type="dxa" w:w="2098"/>
          </w:tcPr>
          <w:p>
            <w:pPr>
              <w:spacing w:after="0" w:line="264" w:lineRule="auto"/>
            </w:pPr>
            <w:r>
              <w:rPr>
                <w:rFonts w:ascii="Times New Roman" w:hAnsi="Times New Roman" w:eastAsia="Times New Roman"/>
                <w:b w:val="0"/>
                <w:i w:val="0"/>
                <w:sz w:val="24"/>
              </w:rPr>
              <w:t>GPU Job Queue</w:t>
            </w:r>
          </w:p>
        </w:tc>
        <w:tc>
          <w:tcPr>
            <w:tcW w:type="dxa" w:w="5421"/>
          </w:tcPr>
          <w:p>
            <w:pPr>
              <w:spacing w:after="0" w:line="264" w:lineRule="auto"/>
            </w:pPr>
            <w:r>
              <w:rPr>
                <w:rFonts w:ascii="Times New Roman" w:hAnsi="Times New Roman" w:eastAsia="Times New Roman"/>
                <w:b w:val="0"/>
                <w:i w:val="0"/>
                <w:sz w:val="24"/>
              </w:rPr>
              <w:t>Places benchmark jobs in a first-in, first-out queue so that only one benchmark uses the GPU at a time, keeping measurements free from interference.</w:t>
            </w:r>
          </w:p>
        </w:tc>
      </w:tr>
      <w:tr>
        <w:tc>
          <w:tcPr>
            <w:tcW w:type="dxa" w:w="787"/>
          </w:tcPr>
          <w:p>
            <w:pPr>
              <w:spacing w:after="0" w:line="264" w:lineRule="auto"/>
            </w:pPr>
            <w:r>
              <w:rPr>
                <w:rFonts w:ascii="Times New Roman" w:hAnsi="Times New Roman" w:eastAsia="Times New Roman"/>
                <w:b w:val="0"/>
                <w:i w:val="0"/>
                <w:sz w:val="24"/>
              </w:rPr>
              <w:t>L03</w:t>
            </w:r>
          </w:p>
        </w:tc>
        <w:tc>
          <w:tcPr>
            <w:tcW w:type="dxa" w:w="2098"/>
          </w:tcPr>
          <w:p>
            <w:pPr>
              <w:spacing w:after="0" w:line="264" w:lineRule="auto"/>
            </w:pPr>
            <w:r>
              <w:rPr>
                <w:rFonts w:ascii="Times New Roman" w:hAnsi="Times New Roman" w:eastAsia="Times New Roman"/>
                <w:b w:val="0"/>
                <w:i w:val="0"/>
                <w:sz w:val="24"/>
              </w:rPr>
              <w:t>Isolated Model Worker</w:t>
            </w:r>
          </w:p>
        </w:tc>
        <w:tc>
          <w:tcPr>
            <w:tcW w:type="dxa" w:w="5421"/>
          </w:tcPr>
          <w:p>
            <w:pPr>
              <w:spacing w:after="0" w:line="264" w:lineRule="auto"/>
            </w:pPr>
            <w:r>
              <w:rPr>
                <w:rFonts w:ascii="Times New Roman" w:hAnsi="Times New Roman" w:eastAsia="Times New Roman"/>
                <w:b w:val="0"/>
                <w:i w:val="0"/>
                <w:sz w:val="24"/>
              </w:rPr>
              <w:t>Starts a separate worker process for each model. The worker downloads the model from the Hugging Face Hub, loads it in 4-bit NF4 quantisation with Transformers, and frees the GPU memory when finished.</w:t>
            </w:r>
          </w:p>
        </w:tc>
      </w:tr>
      <w:tr>
        <w:tc>
          <w:tcPr>
            <w:tcW w:type="dxa" w:w="787"/>
          </w:tcPr>
          <w:p>
            <w:pPr>
              <w:spacing w:after="0" w:line="264" w:lineRule="auto"/>
            </w:pPr>
            <w:r>
              <w:rPr>
                <w:rFonts w:ascii="Times New Roman" w:hAnsi="Times New Roman" w:eastAsia="Times New Roman"/>
                <w:b w:val="0"/>
                <w:i w:val="0"/>
                <w:sz w:val="24"/>
              </w:rPr>
              <w:t>L04</w:t>
            </w:r>
          </w:p>
        </w:tc>
        <w:tc>
          <w:tcPr>
            <w:tcW w:type="dxa" w:w="2098"/>
          </w:tcPr>
          <w:p>
            <w:pPr>
              <w:spacing w:after="0" w:line="264" w:lineRule="auto"/>
            </w:pPr>
            <w:r>
              <w:rPr>
                <w:rFonts w:ascii="Times New Roman" w:hAnsi="Times New Roman" w:eastAsia="Times New Roman"/>
                <w:b w:val="0"/>
                <w:i w:val="0"/>
                <w:sz w:val="24"/>
              </w:rPr>
              <w:t>Multi-Agent Pipeline</w:t>
            </w:r>
          </w:p>
        </w:tc>
        <w:tc>
          <w:tcPr>
            <w:tcW w:type="dxa" w:w="5421"/>
          </w:tcPr>
          <w:p>
            <w:pPr>
              <w:spacing w:after="0" w:line="264" w:lineRule="auto"/>
            </w:pPr>
            <w:r>
              <w:rPr>
                <w:rFonts w:ascii="Times New Roman" w:hAnsi="Times New Roman" w:eastAsia="Times New Roman"/>
                <w:b w:val="0"/>
                <w:i w:val="0"/>
                <w:sz w:val="24"/>
              </w:rPr>
              <w:t>Processes each network flow through a LangGraph pipeline of four agents (perceive, reason, decide and act), each making one model call.</w:t>
            </w:r>
          </w:p>
        </w:tc>
      </w:tr>
      <w:tr>
        <w:tc>
          <w:tcPr>
            <w:tcW w:type="dxa" w:w="787"/>
          </w:tcPr>
          <w:p>
            <w:pPr>
              <w:spacing w:after="0" w:line="264" w:lineRule="auto"/>
            </w:pPr>
            <w:r>
              <w:rPr>
                <w:rFonts w:ascii="Times New Roman" w:hAnsi="Times New Roman" w:eastAsia="Times New Roman"/>
                <w:b w:val="0"/>
                <w:i w:val="0"/>
                <w:sz w:val="24"/>
              </w:rPr>
              <w:t>L05</w:t>
            </w:r>
          </w:p>
        </w:tc>
        <w:tc>
          <w:tcPr>
            <w:tcW w:type="dxa" w:w="2098"/>
          </w:tcPr>
          <w:p>
            <w:pPr>
              <w:spacing w:after="0" w:line="264" w:lineRule="auto"/>
            </w:pPr>
            <w:r>
              <w:rPr>
                <w:rFonts w:ascii="Times New Roman" w:hAnsi="Times New Roman" w:eastAsia="Times New Roman"/>
                <w:b w:val="0"/>
                <w:i w:val="0"/>
                <w:sz w:val="24"/>
              </w:rPr>
              <w:t>Per-Agent Instrumentation Layer</w:t>
            </w:r>
          </w:p>
        </w:tc>
        <w:tc>
          <w:tcPr>
            <w:tcW w:type="dxa" w:w="5421"/>
          </w:tcPr>
          <w:p>
            <w:pPr>
              <w:spacing w:after="0" w:line="264" w:lineRule="auto"/>
            </w:pPr>
            <w:r>
              <w:rPr>
                <w:rFonts w:ascii="Times New Roman" w:hAnsi="Times New Roman" w:eastAsia="Times New Roman"/>
                <w:b w:val="0"/>
                <w:i w:val="0"/>
                <w:sz w:val="24"/>
              </w:rPr>
              <w:t>Records the wall time, time to first token, GPU memory and input and output tokens around every agent call. Telemetry events are written outside the timed sections so they never affect the measurements.</w:t>
            </w:r>
          </w:p>
        </w:tc>
      </w:tr>
    </w:tbl>
    <w:p/>
    <w:p>
      <w:pPr>
        <w:spacing w:after="80"/>
      </w:pPr>
      <w:r>
        <w:rPr>
          <w:rFonts w:ascii="Times New Roman" w:hAnsi="Times New Roman" w:eastAsia="Times New Roman"/>
          <w:b/>
          <w:i w:val="0"/>
          <w:sz w:val="24"/>
        </w:rPr>
        <w:t>Table 3.30: Resource Measurement &amp; Statistical Evaluation Module</w:t>
      </w:r>
    </w:p>
    <w:tbl>
      <w:tblP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306" w:type="dxa"/>
      </w:tblPr>
      <w:tblGrid>
        <w:gridCol w:w="787"/>
        <w:gridCol w:w="2098"/>
        <w:gridCol w:w="5421"/>
      </w:tblGrid>
      <w:tr>
        <w:trPr>
          <w:tblHeader w:val="true"/>
        </w:trPr>
        <w:tc>
          <w:tcPr>
            <w:tcW w:type="dxa" w:w="787"/>
            <w:shd w:val="clear" w:color="auto" w:fill="D9D9D9"/>
          </w:tcPr>
          <w:p>
            <w:pPr>
              <w:spacing w:after="0" w:line="264" w:lineRule="auto"/>
            </w:pPr>
            <w:r>
              <w:rPr>
                <w:rFonts w:ascii="Times New Roman" w:hAnsi="Times New Roman" w:eastAsia="Times New Roman"/>
                <w:b/>
                <w:i w:val="0"/>
                <w:sz w:val="24"/>
              </w:rPr>
              <w:t>No.</w:t>
            </w:r>
          </w:p>
        </w:tc>
        <w:tc>
          <w:tcPr>
            <w:tcW w:type="dxa" w:w="2098"/>
            <w:shd w:val="clear" w:color="auto" w:fill="D9D9D9"/>
          </w:tcPr>
          <w:p>
            <w:pPr>
              <w:spacing w:after="0" w:line="264" w:lineRule="auto"/>
            </w:pPr>
            <w:r>
              <w:rPr>
                <w:rFonts w:ascii="Times New Roman" w:hAnsi="Times New Roman" w:eastAsia="Times New Roman"/>
                <w:b/>
                <w:i w:val="0"/>
                <w:sz w:val="24"/>
              </w:rPr>
              <w:t>Module</w:t>
            </w:r>
          </w:p>
        </w:tc>
        <w:tc>
          <w:tcPr>
            <w:tcW w:type="dxa" w:w="5421"/>
            <w:shd w:val="clear" w:color="auto" w:fill="D9D9D9"/>
          </w:tcPr>
          <w:p>
            <w:pPr>
              <w:spacing w:after="0" w:line="264" w:lineRule="auto"/>
            </w:pPr>
            <w:r>
              <w:rPr>
                <w:rFonts w:ascii="Times New Roman" w:hAnsi="Times New Roman" w:eastAsia="Times New Roman"/>
                <w:b/>
                <w:i w:val="0"/>
                <w:sz w:val="24"/>
              </w:rPr>
              <w:t>Description</w:t>
            </w:r>
          </w:p>
        </w:tc>
      </w:tr>
      <w:tr>
        <w:tc>
          <w:tcPr>
            <w:tcW w:type="dxa" w:w="787"/>
          </w:tcPr>
          <w:p>
            <w:pPr>
              <w:spacing w:after="0" w:line="264" w:lineRule="auto"/>
            </w:pPr>
            <w:r>
              <w:rPr>
                <w:rFonts w:ascii="Times New Roman" w:hAnsi="Times New Roman" w:eastAsia="Times New Roman"/>
                <w:b w:val="0"/>
                <w:i w:val="0"/>
                <w:sz w:val="24"/>
              </w:rPr>
              <w:t>E01</w:t>
            </w:r>
          </w:p>
        </w:tc>
        <w:tc>
          <w:tcPr>
            <w:tcW w:type="dxa" w:w="2098"/>
          </w:tcPr>
          <w:p>
            <w:pPr>
              <w:spacing w:after="0" w:line="264" w:lineRule="auto"/>
            </w:pPr>
            <w:r>
              <w:rPr>
                <w:rFonts w:ascii="Times New Roman" w:hAnsi="Times New Roman" w:eastAsia="Times New Roman"/>
                <w:b w:val="0"/>
                <w:i w:val="0"/>
                <w:sz w:val="24"/>
              </w:rPr>
              <w:t>GPU Power &amp; Energy Sampler</w:t>
            </w:r>
          </w:p>
        </w:tc>
        <w:tc>
          <w:tcPr>
            <w:tcW w:type="dxa" w:w="5421"/>
          </w:tcPr>
          <w:p>
            <w:pPr>
              <w:spacing w:after="0" w:line="264" w:lineRule="auto"/>
            </w:pPr>
            <w:r>
              <w:rPr>
                <w:rFonts w:ascii="Times New Roman" w:hAnsi="Times New Roman" w:eastAsia="Times New Roman"/>
                <w:b w:val="0"/>
                <w:i w:val="0"/>
                <w:sz w:val="24"/>
              </w:rPr>
              <w:t>Reads GPU board power through the NVIDIA Management Library (NVML) during the benchmark and subtracts the measured idle power, so that the energy used per flow by each model can be calculated.</w:t>
            </w:r>
          </w:p>
        </w:tc>
      </w:tr>
      <w:tr>
        <w:tc>
          <w:tcPr>
            <w:tcW w:type="dxa" w:w="787"/>
          </w:tcPr>
          <w:p>
            <w:pPr>
              <w:spacing w:after="0" w:line="264" w:lineRule="auto"/>
            </w:pPr>
            <w:r>
              <w:rPr>
                <w:rFonts w:ascii="Times New Roman" w:hAnsi="Times New Roman" w:eastAsia="Times New Roman"/>
                <w:b w:val="0"/>
                <w:i w:val="0"/>
                <w:sz w:val="24"/>
              </w:rPr>
              <w:t>E02</w:t>
            </w:r>
          </w:p>
        </w:tc>
        <w:tc>
          <w:tcPr>
            <w:tcW w:type="dxa" w:w="2098"/>
          </w:tcPr>
          <w:p>
            <w:pPr>
              <w:spacing w:after="0" w:line="264" w:lineRule="auto"/>
            </w:pPr>
            <w:r>
              <w:rPr>
                <w:rFonts w:ascii="Times New Roman" w:hAnsi="Times New Roman" w:eastAsia="Times New Roman"/>
                <w:b w:val="0"/>
                <w:i w:val="0"/>
                <w:sz w:val="24"/>
              </w:rPr>
              <w:t>Accuracy &amp; Output Reliability Evaluator</w:t>
            </w:r>
          </w:p>
        </w:tc>
        <w:tc>
          <w:tcPr>
            <w:tcW w:type="dxa" w:w="5421"/>
          </w:tcPr>
          <w:p>
            <w:pPr>
              <w:spacing w:after="0" w:line="264" w:lineRule="auto"/>
            </w:pPr>
            <w:r>
              <w:rPr>
                <w:rFonts w:ascii="Times New Roman" w:hAnsi="Times New Roman" w:eastAsia="Times New Roman"/>
                <w:b w:val="0"/>
                <w:i w:val="0"/>
                <w:sz w:val="24"/>
              </w:rPr>
              <w:t>Compares each model’s predicted label with the withheld ground-truth label and measures how often the model returns a valid, usable answer.</w:t>
            </w:r>
          </w:p>
        </w:tc>
      </w:tr>
      <w:tr>
        <w:tc>
          <w:tcPr>
            <w:tcW w:type="dxa" w:w="787"/>
          </w:tcPr>
          <w:p>
            <w:pPr>
              <w:spacing w:after="0" w:line="264" w:lineRule="auto"/>
            </w:pPr>
            <w:r>
              <w:rPr>
                <w:rFonts w:ascii="Times New Roman" w:hAnsi="Times New Roman" w:eastAsia="Times New Roman"/>
                <w:b w:val="0"/>
                <w:i w:val="0"/>
                <w:sz w:val="24"/>
              </w:rPr>
              <w:t>E03</w:t>
            </w:r>
          </w:p>
        </w:tc>
        <w:tc>
          <w:tcPr>
            <w:tcW w:type="dxa" w:w="2098"/>
          </w:tcPr>
          <w:p>
            <w:pPr>
              <w:spacing w:after="0" w:line="264" w:lineRule="auto"/>
            </w:pPr>
            <w:r>
              <w:rPr>
                <w:rFonts w:ascii="Times New Roman" w:hAnsi="Times New Roman" w:eastAsia="Times New Roman"/>
                <w:b w:val="0"/>
                <w:i w:val="0"/>
                <w:sz w:val="24"/>
              </w:rPr>
              <w:t>Efficiency-Only SAW Scorer</w:t>
            </w:r>
          </w:p>
        </w:tc>
        <w:tc>
          <w:tcPr>
            <w:tcW w:type="dxa" w:w="5421"/>
          </w:tcPr>
          <w:p>
            <w:pPr>
              <w:spacing w:after="0" w:line="264" w:lineRule="auto"/>
            </w:pPr>
            <w:r>
              <w:rPr>
                <w:rFonts w:ascii="Times New Roman" w:hAnsi="Times New Roman" w:eastAsia="Times New Roman"/>
                <w:b w:val="0"/>
                <w:i w:val="0"/>
                <w:sz w:val="24"/>
              </w:rPr>
              <w:t>Computes a Simple Additive Weighting (SAW) score from latency, GPU memory and token usage, with accuracy excluded, and repeats it under alternative weight sets as a sensitivity analysis.</w:t>
            </w:r>
          </w:p>
        </w:tc>
      </w:tr>
      <w:tr>
        <w:tc>
          <w:tcPr>
            <w:tcW w:type="dxa" w:w="787"/>
          </w:tcPr>
          <w:p>
            <w:pPr>
              <w:spacing w:after="0" w:line="264" w:lineRule="auto"/>
            </w:pPr>
            <w:r>
              <w:rPr>
                <w:rFonts w:ascii="Times New Roman" w:hAnsi="Times New Roman" w:eastAsia="Times New Roman"/>
                <w:b w:val="0"/>
                <w:i w:val="0"/>
                <w:sz w:val="24"/>
              </w:rPr>
              <w:t>E04</w:t>
            </w:r>
          </w:p>
        </w:tc>
        <w:tc>
          <w:tcPr>
            <w:tcW w:type="dxa" w:w="2098"/>
          </w:tcPr>
          <w:p>
            <w:pPr>
              <w:spacing w:after="0" w:line="264" w:lineRule="auto"/>
            </w:pPr>
            <w:r>
              <w:rPr>
                <w:rFonts w:ascii="Times New Roman" w:hAnsi="Times New Roman" w:eastAsia="Times New Roman"/>
                <w:b w:val="0"/>
                <w:i w:val="0"/>
                <w:sz w:val="24"/>
              </w:rPr>
              <w:t>Constraint Fit Checker</w:t>
            </w:r>
          </w:p>
        </w:tc>
        <w:tc>
          <w:tcPr>
            <w:tcW w:type="dxa" w:w="5421"/>
          </w:tcPr>
          <w:p>
            <w:pPr>
              <w:spacing w:after="0" w:line="264" w:lineRule="auto"/>
            </w:pPr>
            <w:r>
              <w:rPr>
                <w:rFonts w:ascii="Times New Roman" w:hAnsi="Times New Roman" w:eastAsia="Times New Roman"/>
                <w:b w:val="0"/>
                <w:i w:val="0"/>
                <w:sz w:val="24"/>
              </w:rPr>
              <w:t>Checks each model against limits entered by the user (mean and 95th-percentile latency, peak GPU memory and cost per 1,000 flows) and reports which limits are met or failed.</w:t>
            </w:r>
          </w:p>
        </w:tc>
      </w:tr>
      <w:tr>
        <w:tc>
          <w:tcPr>
            <w:tcW w:type="dxa" w:w="787"/>
          </w:tcPr>
          <w:p>
            <w:pPr>
              <w:spacing w:after="0" w:line="264" w:lineRule="auto"/>
            </w:pPr>
            <w:r>
              <w:rPr>
                <w:rFonts w:ascii="Times New Roman" w:hAnsi="Times New Roman" w:eastAsia="Times New Roman"/>
                <w:b w:val="0"/>
                <w:i w:val="0"/>
                <w:sz w:val="24"/>
              </w:rPr>
              <w:t>E05</w:t>
            </w:r>
          </w:p>
        </w:tc>
        <w:tc>
          <w:tcPr>
            <w:tcW w:type="dxa" w:w="2098"/>
          </w:tcPr>
          <w:p>
            <w:pPr>
              <w:spacing w:after="0" w:line="264" w:lineRule="auto"/>
            </w:pPr>
            <w:r>
              <w:rPr>
                <w:rFonts w:ascii="Times New Roman" w:hAnsi="Times New Roman" w:eastAsia="Times New Roman"/>
                <w:b w:val="0"/>
                <w:i w:val="0"/>
                <w:sz w:val="24"/>
              </w:rPr>
              <w:t>Cost &amp; Energy Analyser</w:t>
            </w:r>
          </w:p>
        </w:tc>
        <w:tc>
          <w:tcPr>
            <w:tcW w:type="dxa" w:w="5421"/>
          </w:tcPr>
          <w:p>
            <w:pPr>
              <w:spacing w:after="0" w:line="264" w:lineRule="auto"/>
            </w:pPr>
            <w:r>
              <w:rPr>
                <w:rFonts w:ascii="Times New Roman" w:hAnsi="Times New Roman" w:eastAsia="Times New Roman"/>
                <w:b w:val="0"/>
                <w:i w:val="0"/>
                <w:sz w:val="24"/>
              </w:rPr>
              <w:t>Calculates the cost per 1,000 flows from the measured time and the GPU’s hourly price, together with energy use and tokens per watt-hour.</w:t>
            </w:r>
          </w:p>
        </w:tc>
      </w:tr>
      <w:tr>
        <w:tc>
          <w:tcPr>
            <w:tcW w:type="dxa" w:w="787"/>
          </w:tcPr>
          <w:p>
            <w:pPr>
              <w:spacing w:after="0" w:line="264" w:lineRule="auto"/>
            </w:pPr>
            <w:r>
              <w:rPr>
                <w:rFonts w:ascii="Times New Roman" w:hAnsi="Times New Roman" w:eastAsia="Times New Roman"/>
                <w:b w:val="0"/>
                <w:i w:val="0"/>
                <w:sz w:val="24"/>
              </w:rPr>
              <w:t>E06</w:t>
            </w:r>
          </w:p>
        </w:tc>
        <w:tc>
          <w:tcPr>
            <w:tcW w:type="dxa" w:w="2098"/>
          </w:tcPr>
          <w:p>
            <w:pPr>
              <w:spacing w:after="0" w:line="264" w:lineRule="auto"/>
            </w:pPr>
            <w:r>
              <w:rPr>
                <w:rFonts w:ascii="Times New Roman" w:hAnsi="Times New Roman" w:eastAsia="Times New Roman"/>
                <w:b w:val="0"/>
                <w:i w:val="0"/>
                <w:sz w:val="24"/>
              </w:rPr>
              <w:t>Statistical Significance &amp; Ranking Stability</w:t>
            </w:r>
          </w:p>
        </w:tc>
        <w:tc>
          <w:tcPr>
            <w:tcW w:type="dxa" w:w="5421"/>
          </w:tcPr>
          <w:p>
            <w:pPr>
              <w:spacing w:after="0" w:line="264" w:lineRule="auto"/>
            </w:pPr>
            <w:r>
              <w:rPr>
                <w:rFonts w:ascii="Times New Roman" w:hAnsi="Times New Roman" w:eastAsia="Times New Roman"/>
                <w:b w:val="0"/>
                <w:i w:val="0"/>
                <w:sz w:val="24"/>
              </w:rPr>
              <w:t>Runs the Kruskal-Wallis test with Dunn’s post-hoc test and Holm correction using SciPy, and a paired bootstrap, to verify whether differences between models are statistically significant and whether the ranking is stable.</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defaultTabStop w:val="720"/>
  <w:compat>
    <w:compatSetting w:name="compatibilityMode" w:uri="http://schemas.microsoft.com/office/word" w:val="15"/>
  </w:compat>
  <w:rsids>
    <w:rsidRoot w:val="00000000"/>
    <w:rsid w:val="5BB44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qFormat="1" w:uiPriority="39" w:name="toc 8"/>
    <w:lsdException w:uiPriority="39"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iPriority="99"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pPr>
      <w:outlineLvl w:val="1"/>
    </w:pPr>
    <w:rPr>
      <w:rFonts w:ascii="Times New Roman" w:hAnsi="Times New Roman" w:eastAsia="Times New Roman" w:cs="Times New Roman"/>
      <w:b/>
      <w:bCs/>
      <w:color w:val="000000"/>
      <w:sz w:val="28"/>
      <w:szCs w:val="28"/>
    </w:rPr>
  </w:style>
  <w:style w:type="paragraph" w:styleId="4">
    <w:name w:val="heading 3"/>
    <w:basedOn w:val="1"/>
    <w:next w:val="1"/>
    <w:qFormat/>
    <w:uiPriority w:val="0"/>
    <w:pPr>
      <w:outlineLvl w:val="2"/>
    </w:pPr>
    <w:rPr>
      <w:rFonts w:ascii="Times New Roman" w:hAnsi="Times New Roman" w:eastAsia="Times New Roman" w:cs="Times New Roman"/>
      <w:b/>
      <w:bCs/>
      <w:color w:val="000000"/>
      <w:sz w:val="28"/>
      <w:szCs w:val="28"/>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qFormat/>
    <w:uiPriority w:val="99"/>
    <w:rPr>
      <w:vertAlign w:val="superscript"/>
    </w:rPr>
  </w:style>
  <w:style w:type="paragraph" w:styleId="12">
    <w:name w:val="endnote text"/>
    <w:basedOn w:val="1"/>
    <w:link w:val="30"/>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basedOn w:val="1"/>
    <w:link w:val="29"/>
    <w:semiHidden/>
    <w:unhideWhenUsed/>
    <w:qFormat/>
    <w:uiPriority w:val="99"/>
    <w:pPr>
      <w:spacing w:after="0" w:line="240" w:lineRule="auto"/>
    </w:pPr>
    <w:rPr>
      <w:sz w:val="20"/>
      <w:szCs w:val="20"/>
    </w:rPr>
  </w:style>
  <w:style w:type="character" w:styleId="15">
    <w:name w:val="Hyperlink"/>
    <w:unhideWhenUsed/>
    <w:uiPriority w:val="99"/>
    <w:rPr>
      <w:color w:val="0563C1"/>
      <w:u w:val="single"/>
    </w:rPr>
  </w:style>
  <w:style w:type="character" w:styleId="16">
    <w:name w:val="line number"/>
    <w:semiHidden/>
    <w:unhideWhenUsed/>
    <w:qFormat/>
    <w:uiPriority w:val="99"/>
  </w:style>
  <w:style w:type="paragraph" w:styleId="17">
    <w:name w:val="Title"/>
    <w:basedOn w:val="1"/>
    <w:next w:val="1"/>
    <w:qFormat/>
    <w:uiPriority w:val="0"/>
    <w:rPr>
      <w:sz w:val="56"/>
      <w:szCs w:val="56"/>
    </w:rPr>
  </w:style>
  <w:style w:type="paragraph" w:styleId="18">
    <w:name w:val="toc 1"/>
    <w:basedOn w:val="1"/>
    <w:next w:val="1"/>
    <w:semiHidden/>
    <w:unhideWhenUsed/>
    <w:uiPriority w:val="39"/>
    <w:pPr>
      <w:spacing w:after="100"/>
    </w:pPr>
  </w:style>
  <w:style w:type="paragraph" w:styleId="19">
    <w:name w:val="toc 2"/>
    <w:basedOn w:val="1"/>
    <w:next w:val="1"/>
    <w:semiHidden/>
    <w:unhideWhenUsed/>
    <w:uiPriority w:val="39"/>
    <w:pPr>
      <w:spacing w:after="100"/>
      <w:ind w:left="240"/>
    </w:pPr>
  </w:style>
  <w:style w:type="paragraph" w:styleId="20">
    <w:name w:val="toc 3"/>
    <w:basedOn w:val="1"/>
    <w:next w:val="1"/>
    <w:semiHidden/>
    <w:unhideWhenUsed/>
    <w:uiPriority w:val="39"/>
    <w:pPr>
      <w:spacing w:after="100"/>
      <w:ind w:left="480"/>
    </w:pPr>
  </w:style>
  <w:style w:type="paragraph" w:styleId="21">
    <w:name w:val="toc 4"/>
    <w:basedOn w:val="1"/>
    <w:next w:val="1"/>
    <w:semiHidden/>
    <w:unhideWhenUsed/>
    <w:uiPriority w:val="39"/>
    <w:pPr>
      <w:spacing w:after="100"/>
      <w:ind w:left="720"/>
    </w:pPr>
  </w:style>
  <w:style w:type="paragraph" w:styleId="22">
    <w:name w:val="toc 5"/>
    <w:basedOn w:val="1"/>
    <w:next w:val="1"/>
    <w:semiHidden/>
    <w:unhideWhenUsed/>
    <w:uiPriority w:val="39"/>
    <w:pPr>
      <w:spacing w:after="100"/>
      <w:ind w:left="960"/>
    </w:pPr>
  </w:style>
  <w:style w:type="paragraph" w:styleId="23">
    <w:name w:val="toc 6"/>
    <w:basedOn w:val="1"/>
    <w:next w:val="1"/>
    <w:semiHidden/>
    <w:unhideWhenUsed/>
    <w:uiPriority w:val="39"/>
    <w:pPr>
      <w:spacing w:after="100"/>
      <w:ind w:left="1200"/>
    </w:pPr>
  </w:style>
  <w:style w:type="paragraph" w:styleId="24">
    <w:name w:val="toc 7"/>
    <w:basedOn w:val="1"/>
    <w:next w:val="1"/>
    <w:semiHidden/>
    <w:unhideWhenUsed/>
    <w:uiPriority w:val="39"/>
    <w:pPr>
      <w:spacing w:after="100"/>
      <w:ind w:left="1440"/>
    </w:pPr>
  </w:style>
  <w:style w:type="paragraph" w:styleId="25">
    <w:name w:val="toc 8"/>
    <w:basedOn w:val="1"/>
    <w:next w:val="1"/>
    <w:semiHidden/>
    <w:unhideWhenUsed/>
    <w:qFormat/>
    <w:uiPriority w:val="39"/>
    <w:pPr>
      <w:spacing w:after="100"/>
      <w:ind w:left="1680"/>
    </w:pPr>
  </w:style>
  <w:style w:type="paragraph" w:styleId="26">
    <w:name w:val="toc 9"/>
    <w:basedOn w:val="1"/>
    <w:next w:val="1"/>
    <w:semiHidden/>
    <w:unhideWhenUsed/>
    <w:uiPriority w:val="39"/>
    <w:pPr>
      <w:spacing w:after="100"/>
      <w:ind w:left="1920"/>
    </w:pPr>
  </w:style>
  <w:style w:type="paragraph" w:styleId="27">
    <w:name w:val="List Paragraph"/>
    <w:basedOn w:val="1"/>
    <w:qFormat/>
    <w:uiPriority w:val="0"/>
  </w:style>
  <w:style w:type="paragraph" w:customStyle="1" w:styleId="28">
    <w:name w:val="Bibliography"/>
    <w:basedOn w:val="1"/>
    <w:next w:val="1"/>
    <w:unhideWhenUsed/>
    <w:qFormat/>
    <w:uiPriority w:val="37"/>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2654</Words>
  <Characters>12924</Characters>
  <TotalTime>0</TotalTime>
  <ScaleCrop>false</ScaleCrop>
  <LinksUpToDate>false</LinksUpToDate>
  <CharactersWithSpaces>15164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2026-10-28T08:23:00Z</dcterms:created>
  <dc:creator>Un-named</dc:creator>
  <cp:lastModifiedBy>afif sani</cp:lastModifiedBy>
  <dcterms:modified xsi:type="dcterms:W3CDTF">2026-10-28T09:27:57Z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eyJoZGlkIjoiNjdkOTA2NDAzOTU2ZWY3OWNlZTU4ZjVjMjc3MjJhZDMiLCJ1c2VySWQiOiIxMTE2OTc1OTQ0NTE3In0=</vt:lpwstr>
  </property>
  <property fmtid="{D5CDD505-2E9C-101B-9397-08002B2CF9AE}" pid="3" name="KSOProductBuildVer">
    <vt:lpwstr>1033-12.1.0.29162</vt:lpwstr>
  </property>
  <property fmtid="{D5CDD505-2E9C-101B-9397-08002B2CF9AE}" pid="4" name="ICV">
    <vt:lpwstr>E447323667734054A869E7A157C17AF4_12</vt:lpwstr>
  </property>
</Properties>
</file>