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pict>
          <v:shape id="_x0000_i1025" style="width:159pt;height:42.75pt" type="#_x0000_t75">
            <v:imagedata r:id="rId1" o:title="logo-fiap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PROJETO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NEW VISION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SISTEMAS PARA INTERNET - 1TINR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CYNTIA SAYURI DE ALMEIDA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JONATAS ALVES DE OLIVEIRA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MICHAEL ANDREWS CONTRERA LIU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NICOLAS DE MOURA NUNES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VANESSA AMARAL MARQUES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SÃO PAULO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2019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Prefácio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aborda o levantamento e análise dos requisitos do sistema NOME DO SISTEMA, que consiste em uma plataforma web com design responsivo e com uma </w:t>
      </w:r>
      <w:r w:rsidDel="00000000" w:rsidR="00000000" w:rsidRPr="00000000">
        <w:rPr>
          <w:rtl w:val="0"/>
        </w:rPr>
        <w:t xml:space="preserve">extensão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para smartphone, que possui a finalidade de auxiliar a APAE SP, automatizando o processo de inserção dos seus assistidos no mercado de trabalho por meio da metodologia do emprego apoiado.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tem como público alvo o Gerente de Projetos da empresa New Vision que possui responsabilidade sob as entregas, integração do trabalho, administração dos recursos, controle e adaptação de prazos e cronograma estabelecidos, além de gerenciar a equipe responsável pelo desenvolvimento do sistema: Desenvolvedores Front-End e Bakc-end que são responsáveis pelo funcionamento e aparência da plataforma sugerida; Administrador de Banco de Dados, responsável por instalar, configurar e administrar o banco de dados do projeto; e o Analista de Infraestrutura, que deve projetar redes de computadores, participando da análise, estudo, seleção e planejamento, tanto de software quando de hardware básico e de apoio.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Histórico de Revisão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3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560"/>
        <w:gridCol w:w="992"/>
        <w:gridCol w:w="3119"/>
        <w:gridCol w:w="1417"/>
        <w:gridCol w:w="2835"/>
        <w:tblGridChange w:id="0">
          <w:tblGrid>
            <w:gridCol w:w="1560"/>
            <w:gridCol w:w="992"/>
            <w:gridCol w:w="3119"/>
            <w:gridCol w:w="1417"/>
            <w:gridCol w:w="2835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Início da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Início do Escopo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 In</w:t>
            </w:r>
            <w:r w:rsidDel="00000000" w:rsidR="00000000" w:rsidRPr="00000000">
              <w:rPr>
                <w:rtl w:val="0"/>
              </w:rPr>
              <w:t xml:space="preserve">í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cio da Elicitação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9">
            <w:pPr>
              <w:spacing w:after="12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 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 Alterações no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Michael e C</w:t>
            </w: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nt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Criação do protótipo do site (Front)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Cyntia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Criação do protótipo do site (Back)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Michael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Criação do 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Vanessa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Atualizações no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Nícolas e Jonathas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PLANEJAMENTO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Escopo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Cronograma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Responsabilidades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ELICITAÇÃO DE REQUISITOS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Levantamento de Requisitos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de Usuário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Análise de Requisitos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24" w:right="0" w:hanging="504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10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PLANEJAMENTO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Escopo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70c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Todas as empresas com mais de cem funcionários no Brasil precisam preencher parte de seus cargos com pessoas com deficiência (PcD). A obrigatoriedade está na lei de cotas, que prevê percentuais de 2% a 5% de acordo com número de funcionários. Mais de 418 mil trabalhadores com deficiência se valiam desta garantia até 2016, segundo os dados mais recentes do RAIS (Relação Anual de Informações Sociais).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Os mesmos dados revelam, no entanto, uma dificuldade maior de inclusão para pessoas com deficiência intelectual. Elas representam apenas 8,2% desses trabalhadores, enquanto 48,9% são pessoas com deficiência física, 19,2% com deficiência auditiva, 12,8% com deficiência visual, 9,2% são reabilitados e 1,7% são pessoas com deficiências múltiplas.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Dado o exposto se faz necessária uma solução que atenda a essa parcela de pessoas com DI que muitas vezes não são contratadas por preconceito, levando em consideração o trabalho exercido pela APAE através da metodologia do Emprego Apoiado, esse projeto visa ajudar a instituição, os </w:t>
      </w:r>
      <w:r w:rsidDel="00000000" w:rsidR="00000000" w:rsidRPr="00000000">
        <w:rPr>
          <w:highlight w:val="whit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spirantes </w:t>
      </w:r>
      <w:r w:rsidDel="00000000" w:rsidR="00000000" w:rsidRPr="00000000">
        <w:rPr>
          <w:highlight w:val="white"/>
          <w:rtl w:val="0"/>
        </w:rPr>
        <w:t xml:space="preserve">às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vagas e seus responsáveis, assim como as empresas contratantes.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highlight w:val="white"/>
        </w:rPr>
      </w:pPr>
      <w:bookmarkStart w:colFirst="0" w:colLast="0" w:name="_heading=h.gjdgxs" w:id="0"/>
      <w:bookmarkEnd w:id="0"/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 projeto é baseado em um site com uma </w:t>
      </w:r>
      <w:r w:rsidDel="00000000" w:rsidR="00000000" w:rsidRPr="00000000">
        <w:rPr>
          <w:highlight w:val="white"/>
          <w:rtl w:val="0"/>
        </w:rPr>
        <w:t xml:space="preserve">extensão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para mobile, </w:t>
      </w:r>
      <w:r w:rsidDel="00000000" w:rsidR="00000000" w:rsidRPr="00000000">
        <w:rPr>
          <w:highlight w:val="white"/>
          <w:rtl w:val="0"/>
        </w:rPr>
        <w:t xml:space="preserve">possui três interfaces, uma para cada usuário, respectivamente: para a APAE, empresas parceiras, candidatos e seus responsáveis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e tem o intuito de trazer mais independência a pessoa com </w:t>
      </w:r>
      <w:r w:rsidDel="00000000" w:rsidR="00000000" w:rsidRPr="00000000">
        <w:rPr>
          <w:highlight w:val="white"/>
          <w:rtl w:val="0"/>
        </w:rPr>
        <w:t xml:space="preserve">deficiência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intelectual, a</w:t>
      </w:r>
      <w:r w:rsidDel="00000000" w:rsidR="00000000" w:rsidRPr="00000000">
        <w:rPr>
          <w:highlight w:val="white"/>
          <w:rtl w:val="0"/>
        </w:rPr>
        <w:t xml:space="preserve">través 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uma </w:t>
      </w:r>
      <w:r w:rsidDel="00000000" w:rsidR="00000000" w:rsidRPr="00000000">
        <w:rPr>
          <w:highlight w:val="white"/>
          <w:rtl w:val="0"/>
        </w:rPr>
        <w:t xml:space="preserve">experiência digital e agradável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 processo de inscrição e acompanhamento d</w:t>
      </w:r>
      <w:r w:rsidDel="00000000" w:rsidR="00000000" w:rsidRPr="00000000">
        <w:rPr>
          <w:highlight w:val="white"/>
          <w:rtl w:val="0"/>
        </w:rPr>
        <w:t xml:space="preserve">o status de sua candidatura,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 APAE como mediadora deve exercer o controle e o acompanhamento das informações da plataforma e as empresas parceiras  caberá a função de fazer o cadastro das vagas e informações relevantes.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highlight w:val="white"/>
        </w:rPr>
      </w:pPr>
      <w:bookmarkStart w:colFirst="0" w:colLast="0" w:name="_heading=h.wvsbi1638a4g" w:id="1"/>
      <w:bookmarkEnd w:id="1"/>
      <w:r w:rsidDel="00000000" w:rsidR="00000000" w:rsidRPr="00000000">
        <w:rPr>
          <w:highlight w:val="white"/>
          <w:rtl w:val="0"/>
        </w:rPr>
        <w:tab/>
        <w:t xml:space="preserve">A APAE como administradora da plataforma irá analisar as vagas que serão enviadas pelas empresas contratantes, acompanhar os processos de contratação e trabalhar na curadoria dos dados.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highlight w:val="white"/>
        </w:rPr>
      </w:pPr>
      <w:bookmarkStart w:colFirst="0" w:colLast="0" w:name="_heading=h.lrojbcvuj3c3" w:id="2"/>
      <w:bookmarkEnd w:id="2"/>
      <w:r w:rsidDel="00000000" w:rsidR="00000000" w:rsidRPr="00000000">
        <w:rPr>
          <w:highlight w:val="white"/>
          <w:rtl w:val="0"/>
        </w:rPr>
        <w:tab/>
        <w:t xml:space="preserve">As companhias que desejarem divulgar suas vagas, acessarão a solução por sua respectiva frente e por meio desta irão inscrever as vagas com a descrição do perfil de colaborador que esperam encontrar, as funções que serão executadas pelo mesmo e outros requisitos que julgarem necessários. 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highlight w:val="white"/>
        </w:rPr>
      </w:pPr>
      <w:bookmarkStart w:colFirst="0" w:colLast="0" w:name="_heading=h.cfr7cqv1nxgx" w:id="3"/>
      <w:bookmarkEnd w:id="3"/>
      <w:r w:rsidDel="00000000" w:rsidR="00000000" w:rsidRPr="00000000">
        <w:rPr>
          <w:highlight w:val="white"/>
          <w:rtl w:val="0"/>
        </w:rPr>
        <w:tab/>
        <w:t xml:space="preserve">Os postulantes às oportunidades deverão fazer um cadastro através de seus meios de acesso, desktop ou mobile, e assim acompanhar o status do processo seletivo no qual esteja participando, terá acesso às vagas previamente encaminhadas a ele(a) através do sistema e assim escolher as que desejar. Os responsáveis e familiares dos abordados poderão acessar a ferramenta através dessa frente. 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highlight w:val="white"/>
        </w:rPr>
      </w:pPr>
      <w:bookmarkStart w:colFirst="0" w:colLast="0" w:name="_heading=h.f3mc3p754yyo" w:id="4"/>
      <w:bookmarkEnd w:id="4"/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9" w:right="0" w:hanging="3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Cronograma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323765</wp:posOffset>
            </wp:positionV>
            <wp:extent cx="5612130" cy="2029413"/>
            <wp:effectExtent b="0" l="0" r="0" t="0"/>
            <wp:wrapSquare wrapText="bothSides" distB="152400" distT="152400" distL="152400" distR="152400"/>
            <wp:docPr id="10737418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Responsabilidades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Gerente de Projetos: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Nicolas de Moura Nunes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Front-End: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Cyntia Sayuri de Almeida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Back-End: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Michael Andrews Contrera Liu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Banco de Dados: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Vanessa Amaral Marques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Infraestrutura: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Jonatas Alves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10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ELICITAÇÃO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Levantamento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Segundo Márcio Andrade Silva, MBA em Gestão de Negócios “A atividade de levantamento de requisitos é de fundamental importância para que se construa o software certo, ou seja, é necessário antes de qualquer coisa que os envolvidos no projeto de software saibam exatamente o que é esperado do aplicativo a ser construído. É muito importante também que todos os envolvidos saibam igualmente o que o software não fará. Isso pode parecer óbvio, mas nem sempre fica claro para todos os envolvidos do projeto sobre qual é a fronteira da aplicação. A fronteira da aplicação pode ser entendida como uma linha imaginária que circula e define objetivamente, dentre os requisitos de software, quais serão automatizados e quais não serão.”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APAE SP parceira da FIAP para execução do challenge, solicitou à turma uma solução inovadora para tornar deficientes intelectuais mais autônomos em suas atividades diárias. Foi-nos dada a liberdade de escolha referente às abrangentes e diferentes frentes exploradas pela APAE SP como educação, trabalho, acompanhamento médico e outros.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meio de pesquisas realizadas pelo grupo, nos foi chamada a atenção a alta taxa de desemprego que atualmente afeta o país: referente à Março de 2019, ela subiu 12,7% e atinge 14,3 milhões de brasileiros segundo o IBGE. Tendo em vista que pessoas com DI possuem maior dificuldade em conseguir emprego por conta de sua pouca visibilidade e grande preconceito em empregar pessoas com alguma deficiência, seja qual for a área. Pensando nisso, APAE SP desenvolveu uma metodologia de Emprego Apoiado, para que facilitasse o acesso dessas pessoas às vagas de trabalho.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Aprofundando nosso estudo nessa metodologia, encontramos algumas dificuldades nesse processo, como o deslocamento até a empresa para conscientização dos funcionários sempre que há uma contratação; processo de seleção de pessoas feito de forma manual, o que acarreta muito tempo e nem sempre é encontrada a melhor pessoa para aquela vaga; dificuldade de comunicação entre APAE – empresa – candidato.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Depois de levantarmos idéias por meio de um brainstorm e discorrermos sobre o tema, idealizamos um projeto que ajudará a salientar ou até mesmo sanar esses problemas: será desenvolvida uma plataforma web com quatro frentes: um moderador com a intenção de unir vaga a candidato, empresas com papel de contratante, os candidatos sendo exclusivamente deficientes intelectuais e responsáveis para acompanhamento deste candidato.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Realizamos algumas pesquisas a fim de descobrir se já existe um projeto que poderia resolver os problemas citados anteriormente, e concluímos que os que existem no mercado atualmente não são capazes de suprir essas necessidades, apenas parte delas, tornando assim nossa idéia única.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plataforma proposta contará com telas adaptadas a cada tipo de usuário, tendo em vista suas necessidades e ações dentro da ferramenta.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empresa já pré-cadastrada pela APAE poderá disponibilizar suas vagas no portal com especificações como salário e cargo, ver suas vagas já cadastradas e escolher dentre os candidatos sugeridos pela APAE, qual contratar. Além disso, também haverá a opção de carregar materiais para um EAD com funções que o futuro contratado irá desenvolver no cargo pretendido por meio de vídeos, afim de que qualquer candidato tenha a possibilidade de acessar e aproveitar deste material.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APAE como moderadora, terá acesso a essas vagas e aos deficientes já cadastrados por ela com dados contidos em seu BD, dessa forma não será necessário solicitar dados no primeiro acesso do usuário, facilitando assim sua experiência e agilizando o processo. O sistema irá gerar uma lista com uma visão geral de quais candidatos são mais indicados para cada vaga - levando em conta seu currículo, habilidades e proximidade do local da vaga –, além de filtros para facilitar a busca de determinado candidato, assim, como moderadora, A APAE só precisa candidatar um usuário para uma vaga, de forma mais rápida e inteligente, poupando tempo e diminuindo os riscos de um candidato não se adaptar à vaga sugerida.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vez que o candidato é selecionado para uma vaga, ele poderá visualizar o status de sua candidatura e para quais vagas ele está concorrendo, dando a ele maior interação com todo o processo de contratação.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Tanto a empresa, o candidato e o responsável pelo candidato, terão acesso a cursos EAD, sobre todo o processo pelo qual estão passando com essa contratação, com materiais de orientação e conscientização. No caso da empresa, esse material será voltado aos funcionários que irão receber o novo contratado, para que esses saibam como agir e lidar, criando assim um ambiente propício e com boa atmosfera para ambos os lados; e no caso do responsável, para que ele perca toda a insegurança que gira em torno de deixar com que essa pessoa com DI possa trabalhar e se tornar independente. Por fim, os cursos EAD para o candidato terão como finalidade profissionalizá-lo dentro de uma área de atuação, qualificando-o cada vez mais para o mercado de trabalho.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Levando em consideração que a maioria dos deficientes intelectuais atendidos pela APAE não possuem um computador em casa, nossa plataforma web terá todo seu design pensado responsivamente, para que seja possível ao candidato acessá-la diretamente de seu celular.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  <w:tab w:val="left" w:pos="8338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moderador ainda terá acesso a vários relatórios gerenciais para melhor controle e aproveitamento da plataforma, como quais empresas mais contratam, quantidade de empresas por região etc.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70c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de Usuário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Descrever a(s) rotina(s) do sistema, conforme levantamento de dados, que será afetada pelo sistema desenvolvido.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Análise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Segundo a IEEE (1990) a análise de requisitos é um processo que envolve o estudo das necessidades do usuário para se encontrar uma definição correta ou completa do sistema ou requisito de software.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Essa análise de requisitos é vital para o desenvolvimento do sistema, ela vai determinar o sucesso ou o fracasso do projeto. Os requisitos colhidos devem ser quantitativos, detalhados e relevantes para o projeto. Pois eles fornecerão a referência para validar o produto final, estabelecerão o acordo entre cliente e fornecedor sobre o que e o software fará e consequentemente reduzirão os custos de desenvolvimento, pois requisitos mal definidos implicam num retrabalho.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RN01 -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Pré-requisito para realização de um módulo de curso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 Um usuário – tanto empresa quanto candidato -, só poderá realizar um módulo de um curso caso já tenha concluído o anterior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RN02 -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Aprovar de acordo com o número de vagas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 Um usuário do tipo empresa só poderá aprovar candidatos de acordo com a quantidade de vagas restantes para aquela proposta de emprego, quando a quantidade chegar a 0, todos os outros candidatos serão rejeitados automaticamente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RN03 -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A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RF01 - Cadastrar usuário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do nível moderador podem cadastrar usuários de nível empresa, candidato e responsável pelo candidato.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RF02 - Alterar cadastro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Todos usuários poderão alterar dados referentes à sua própria conta, porém do tipo moderador podem também alterar dados de candidatos.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RF03 - Excluir cadastro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Todos usuários com exceção do moderador poderão excluir sua respectiva conta da plataforma.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RF04 - Cadastrar vagas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do nível empresa podem cadastrar vagas onde serão solicitados dados como cargo, salário, local, pré-requisitos, benefícios e etc.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RF05 - Alterar vagas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do nível empresa que ofertaram uma vaga poderão alterar os dados da mesma.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RF06 - Excluir vagas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do nível empresa que ofertaram uma vaga poderão excluí-la.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RF07 - Visualizar vagas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de todos os níveis podem visualizar vagas cadastradas no sistema. Porém as empresas podem apenas ver as suas e tanto o usuário de nível candidato quanto responsável só podem ver aos que o candidato está concorrendo. Já o moderador tem acesso completo a todas as vagas.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RF08 - Cadastrar cursos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Moderadores ou empresas podem cadastrar cursos, onde serão solicitados o nome do curso, número de módulos e material do curso.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RF09 – Alterar cursos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Moderadores ou empresas que cadastraram um curso poderão alterar os dados do mesmo.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RF10 – Excluir cursos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Moderadores ou empresas que cadastraram um curso poderão excluí-lo.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RF11 – Visualizar cursos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de qualquer nível podem visualizar os cursos disponíveis no sistema.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RF12 – Realizar cursos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de qualquer nível com exceção do moderador podem realizar cursos. Para as empresas, ele fica disponível logo após ela ofertar uma vaga; para o responsável, os cursos ficam disponíveis desde o primeiro acesso. No caso do candidato, cursos de vagas serão somente liberados se ele for aprovado, demais cursos estarão disponíveis desde o primeiro acesso.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RF13 - Concorrer a uma vaga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moderador pode atribuir um candidato a uma vaga, seu estado inicial será de análise, para posteriormente a o usuário do nível empresa que a ofertou dar um status de aprovado ou rejeitado.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RF14 – Gerar relatórios gerenciais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Um moderador poderá solicitar ao sistema relatórios referentes a outros usuários, vagas, cursos etc.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RF15 – Visualizar as candidaturas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Todos os usuários podem visualizar as candidaturas do processo seletivo. A APAE pode verificar as candidaturas de todos os processos, as empresas tem acesso ao processos de suas vagas cadastradas e o deficiente tem acesso ao status das vagas as quais ele está concorrendo.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RF16 – Atualizar as etapas das candidaturas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As empresas atualizam as candidaturas conforme os candidatos passem para a próxima etapa.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Usabilidade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descreve os requisitos não funcionais associados à facilidade de uso da interface com o usuário, material de treinamento e documentação do sistema.</w:t>
      </w:r>
    </w:p>
    <w:p w:rsidR="00000000" w:rsidDel="00000000" w:rsidP="00000000" w:rsidRDefault="00000000" w:rsidRPr="00000000" w14:paraId="000000E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NF001 - Interface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interface principalmente referente ao usuário do nível candidato deve ser muito ilustrada e intuitiva, para de fácil acesso também aos que são semi-analfabetos.</w:t>
      </w:r>
    </w:p>
    <w:tbl>
      <w:tblPr>
        <w:tblStyle w:val="Table2"/>
        <w:tblW w:w="7901.0" w:type="dxa"/>
        <w:jc w:val="left"/>
        <w:tblInd w:w="642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13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33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NF002 - Responsividade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plataforma a ser desenvolvida deve ser totalmente responsiva pensando principalmente em mobile já que será o meio de acesso mais frequente por meio do usuário.</w:t>
      </w:r>
    </w:p>
    <w:tbl>
      <w:tblPr>
        <w:tblStyle w:val="Table3"/>
        <w:tblW w:w="7901.0" w:type="dxa"/>
        <w:jc w:val="left"/>
        <w:tblInd w:w="642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13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33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hanging="57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34" w:right="0" w:hanging="5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Confiabilidade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freqüência, severidade de falhas do sistema e habilidade de recuperação das mesmas, bem como à corretude do sistema.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Desempenho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Segurança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</w:t>
      </w:r>
    </w:p>
    <w:p w:rsidR="00000000" w:rsidDel="00000000" w:rsidP="00000000" w:rsidRDefault="00000000" w:rsidRPr="00000000" w14:paraId="0000010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NF003 - Login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709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Caso o usuário erre sua senha de acesso mais de 3 vezes, um comunicado é enviado ao seu email informando o ocorrido e uma solicitação de troca de senha.</w:t>
      </w:r>
    </w:p>
    <w:p w:rsidR="00000000" w:rsidDel="00000000" w:rsidP="00000000" w:rsidRDefault="00000000" w:rsidRPr="00000000" w14:paraId="0000010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NF004 - Autenticação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no momento do cadastro se o CNPJ (empresa) ou o CPF (usuário) são válidos.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Distribuição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distribuição da versão executável do sistema.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Padrões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 padrões ou normas que devem ser seguidos pelo sistema ou pelo seu processo de desenvolvimento.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Hardware e software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578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ao hardware e software usados para desenvolver ou para executar o sistema.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 de caso de uso  ou Diagrama Geral de Use cases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Explique o que são Diagramas de Caso de Uso.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Inclua aqui o seu diagrama principal de use cases, construído a partir da ferramenta de modelagem. O diagrama principal deve incluir todas as use cases que irão implementar os requisitos do sistema e os atores ou os atores.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tabs>
          <w:tab w:val="left" w:pos="360"/>
          <w:tab w:val="right" w:pos="8640"/>
        </w:tabs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Atores e Use Cases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Atores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Exemplo: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-Aluno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 indivíduo que está matriculado na faculdade, que tem interesse em se inscrever em um curso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-Professor: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indivíduo que leciona disciplinas na faculdade.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-Coordenador: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pessoa interessada em agendar as alocações de turmas e professores, e visualizar o andamento de inscrições dbs alunos.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-Sistema de Recursos Humanos: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este sistema legado é responsável por fornecer informações cadastrais sobre os professores.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00"/>
          <w:tab w:val="right" w:pos="8640"/>
        </w:tabs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Documentação de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OBS: nos casos de uso + complexos crie o diagrama de atividade para representar a funcionalidade</w:t>
      </w:r>
    </w:p>
    <w:p w:rsidR="00000000" w:rsidDel="00000000" w:rsidP="00000000" w:rsidRDefault="00000000" w:rsidRPr="00000000" w14:paraId="0000012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line="360" w:lineRule="auto"/>
        <w:rPr>
          <w:rFonts w:ascii="Times New Roman" w:cs="Times New Roman" w:eastAsia="Times New Roman" w:hAnsi="Times New Roman"/>
          <w:color w:val="0000ff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none"/>
          <w:rtl w:val="0"/>
        </w:rPr>
        <w:t xml:space="preserve">Caso de Uso:  nome do caso de uso que será descrito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Sumário: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pequena descrição do caso de uso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Ator Primário: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nome do ator que inicia o caso de uso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Atores Secundários: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os demais atores que participam do caso de uso, se houver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Precondições: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define que hipóteses são assumidas como verdadeiras para que o caso de uso tenha início.  Exemplo: o cliente deve ser identificado pelo sistema.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spacing w:line="360" w:lineRule="auto"/>
        <w:rPr>
          <w:rFonts w:ascii="Times New Roman" w:cs="Times New Roman" w:eastAsia="Times New Roman" w:hAnsi="Times New Roman"/>
          <w:b w:val="0"/>
          <w:color w:val="0000ff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none"/>
          <w:rtl w:val="0"/>
        </w:rPr>
        <w:t xml:space="preserve">Fluxo Principal: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ff"/>
          <w:sz w:val="24"/>
          <w:szCs w:val="24"/>
          <w:u w:val="none"/>
          <w:rtl w:val="0"/>
        </w:rPr>
        <w:t xml:space="preserve">descreve o que normalmente acontece quando o caso de uso é realizado, identificando a interação do usuário e o papel do sistema. Deve ser definido o domínio do problema e não a solução. Deve ser descrito do ponto de vista do usuário, portanto não deve possuir termos técnicos.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2.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3...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Fluxo Alternativo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 quando o ator faz uma  escolha alternativa diferente da descrita no fluxo principal.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1-a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Fluxo de Exceção: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descreve quando algo de inesperado pode acontecer na interação entre ator e caso de uso(por exemplo quando um usuário realiza uma ação inválida).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Deve indicar em que passo o caso de uso continua, ou conforme for, quando o caso de uso termina.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Exemplos: Realizar Pedido, algumas situações usuais que seriam tratadas em fluxos de exceção.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 se o cartão excede o limite?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 se a loja não tem a quantidade de produtos?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 se o cliente já tem um débito anterior?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spacing w:line="360" w:lineRule="auto"/>
        <w:rPr>
          <w:rFonts w:ascii="Times New Roman" w:cs="Times New Roman" w:eastAsia="Times New Roman" w:hAnsi="Times New Roman"/>
          <w:b w:val="0"/>
          <w:i w:val="0"/>
          <w:color w:val="0000ff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ff"/>
          <w:u w:val="none"/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ff"/>
          <w:u w:val="none"/>
          <w:rtl w:val="0"/>
        </w:rPr>
        <w:t xml:space="preserve">é um estado que o caso de uso alcança após um caso de uso ser realizado.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  <w:tab w:val="right" w:pos="8640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Negócio: identifique as regras relacionadas a este caso de uso...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PROTÓTIPOS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4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4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4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Coloque aqui os protótipos de telas estáticas criadas com a finalidade de elucidar o projeto e o sistema como um todo para entendimento de todas as partes, inclusive o cliente e usuários finais.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4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Classe de Análise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Explique o que são Diagramas de Classes.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Coloque o diagrama de relacionamento entre as classes de análise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3 – [PRÓXIMAS ETAPAS]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Explique o será feito a partir daqui, ou seja, as atividades como Implementação, Testes, Implantação, Treinamentos, etc.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Bibliografia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Coloque as referências bibliográficas utilizadas e citadas no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Anexos (Opcional)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Coloque os anexos citados no documento.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https://agenciadenoticias.ibge.gov.br/agencia-sala-de-imprensa/2013-agencia-de-noticias/releases/23865-pnad-continua-taxa-de-desocupacao-e-de-12-0-e-taxa-de-subutilizacao-e-de-24-3-no-trimestre-encerrado-em-janeiro-de-2019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/>
      <w:pgMar w:bottom="1417" w:top="1417" w:left="1701" w:right="1701" w:header="284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2.%3."/>
      <w:lvlJc w:val="left"/>
      <w:pPr>
        <w:ind w:left="1440" w:hanging="72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2.%3.%4."/>
      <w:lvlJc w:val="left"/>
      <w:pPr>
        <w:ind w:left="1710" w:hanging="63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2.%3.%4.%5."/>
      <w:lvlJc w:val="left"/>
      <w:pPr>
        <w:ind w:left="1710" w:hanging="27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2.%3.%4.%5.%6."/>
      <w:lvlJc w:val="left"/>
      <w:pPr>
        <w:ind w:left="2880" w:hanging="10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2.%3.%4.%5.%6.%7."/>
      <w:lvlJc w:val="left"/>
      <w:pPr>
        <w:ind w:left="3600" w:hanging="144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2.%3.%4.%5.%6.%7.%8."/>
      <w:lvlJc w:val="left"/>
      <w:pPr>
        <w:ind w:left="3960" w:hanging="144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2.%3.%4.%5.%6.%7.%8.%9."/>
      <w:lvlJc w:val="left"/>
      <w:pPr>
        <w:ind w:left="4680" w:hanging="1800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710" w:hanging="63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710" w:hanging="27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20" w:hanging="42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2.%3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2.%3.%4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2.%3.%4.%5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2.%3.%4.%5.%6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2.%3.%4.%5.%6.%7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2.%3.%4.%5.%6.%7.%8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2.%3.%4.%5.%6.%7.%8.%9."/>
      <w:lvlJc w:val="left"/>
      <w:pPr>
        <w:ind w:left="709" w:hanging="709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20" w:hanging="42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309" w:hanging="309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2.%3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  <w:lvl w:ilvl="3">
      <w:start w:val="1"/>
      <w:numFmt w:val="decimal"/>
      <w:lvlText w:val="%2.%3.%4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  <w:lvl w:ilvl="4">
      <w:start w:val="1"/>
      <w:numFmt w:val="decimal"/>
      <w:lvlText w:val="%2.%3.%4.%5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  <w:lvl w:ilvl="5">
      <w:start w:val="1"/>
      <w:numFmt w:val="decimal"/>
      <w:lvlText w:val="%2.%3.%4.%5.%6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  <w:lvl w:ilvl="6">
      <w:start w:val="1"/>
      <w:numFmt w:val="decimal"/>
      <w:lvlText w:val="%2.%3.%4.%5.%6.%7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  <w:lvl w:ilvl="7">
      <w:start w:val="1"/>
      <w:numFmt w:val="decimal"/>
      <w:lvlText w:val="%2.%3.%4.%5.%6.%7.%8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  <w:lvl w:ilvl="8">
      <w:start w:val="1"/>
      <w:numFmt w:val="decimal"/>
      <w:lvlText w:val="%2.%3.%4.%5.%6.%7.%8.%9."/>
      <w:lvlJc w:val="left"/>
      <w:pPr>
        <w:ind w:left="608" w:hanging="608"/>
      </w:pPr>
      <w:rPr>
        <w:b w:val="1"/>
        <w:smallCaps w:val="0"/>
        <w:strike w:val="0"/>
        <w:sz w:val="24"/>
        <w:szCs w:val="24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508" w:hanging="508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508" w:hanging="508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3.%4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3.%4.%5."/>
      <w:lvlJc w:val="left"/>
      <w:pPr>
        <w:ind w:left="1080" w:hanging="108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3.%4.%5.%6."/>
      <w:lvlJc w:val="left"/>
      <w:pPr>
        <w:ind w:left="1080" w:hanging="108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3.%4.%5.%6.%7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3.%4.%5.%6.%7.%8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3.%4.%5.%6.%7.%8.%9."/>
      <w:lvlJc w:val="left"/>
      <w:pPr>
        <w:ind w:left="1800" w:hanging="180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20" w:hanging="42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2.%3.%4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2.%3.%4.%5."/>
      <w:lvlJc w:val="left"/>
      <w:pPr>
        <w:ind w:left="1080" w:hanging="108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2.%3.%4.%5.%6."/>
      <w:lvlJc w:val="left"/>
      <w:pPr>
        <w:ind w:left="1080" w:hanging="108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2.%3.%4.%5.%6.%7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2.%3.%4.%5.%6.%7.%8."/>
      <w:lvlJc w:val="left"/>
      <w:pPr>
        <w:ind w:left="1440" w:hanging="144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2.%3.%4.%5.%6.%7.%8.%9."/>
      <w:lvlJc w:val="left"/>
      <w:pPr>
        <w:ind w:left="1800" w:hanging="180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2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710" w:hanging="63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710" w:hanging="27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</w:pPr>
    <w:rPr>
      <w:rFonts w:ascii="Arial" w:cs="Arial" w:eastAsia="Arial" w:hAnsi="Arial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  <w:lang w:eastAsia="en-US"/>
    </w:rPr>
  </w:style>
  <w:style w:type="paragraph" w:styleId="Ttulo2">
    <w:name w:val="heading 2"/>
    <w:next w:val="Body"/>
    <w:pPr>
      <w:keepNext w:val="1"/>
      <w:outlineLvl w:val="1"/>
    </w:pPr>
    <w:rPr>
      <w:rFonts w:ascii="Arial" w:cs="Arial" w:eastAsia="Arial" w:hAnsi="Arial"/>
      <w:b w:val="1"/>
      <w:bCs w:val="1"/>
      <w:color w:val="000000"/>
      <w:sz w:val="24"/>
      <w:szCs w:val="24"/>
      <w:u w:color="000000"/>
    </w:rPr>
  </w:style>
  <w:style w:type="paragraph" w:styleId="Ttulo3">
    <w:name w:val="heading 3"/>
    <w:next w:val="Body"/>
    <w:pPr>
      <w:keepNext w:val="1"/>
      <w:jc w:val="both"/>
      <w:outlineLvl w:val="2"/>
    </w:pPr>
    <w:rPr>
      <w:rFonts w:ascii="Arial" w:cs="Arial Unicode MS" w:hAnsi="Arial"/>
      <w:b w:val="1"/>
      <w:bCs w:val="1"/>
      <w:color w:val="000000"/>
      <w:sz w:val="22"/>
      <w:szCs w:val="22"/>
      <w:u w:color="000000"/>
      <w:lang w:val="pt-PT"/>
    </w:rPr>
  </w:style>
  <w:style w:type="paragraph" w:styleId="Ttulo4">
    <w:name w:val="heading 4"/>
    <w:next w:val="Body"/>
    <w:pPr>
      <w:keepNext w:val="1"/>
      <w:jc w:val="both"/>
      <w:outlineLvl w:val="3"/>
    </w:pPr>
    <w:rPr>
      <w:rFonts w:ascii="Arial" w:cs="Arial Unicode MS" w:hAnsi="Arial"/>
      <w:b w:val="1"/>
      <w:bCs w:val="1"/>
      <w:i w:val="1"/>
      <w:iCs w:val="1"/>
      <w:color w:val="000000"/>
      <w:sz w:val="24"/>
      <w:szCs w:val="24"/>
      <w:u w:color="000000"/>
      <w:lang w:val="pt-PT"/>
    </w:rPr>
  </w:style>
  <w:style w:type="paragraph" w:styleId="Ttulo9">
    <w:name w:val="heading 9"/>
    <w:next w:val="Body"/>
    <w:pPr>
      <w:keepNext w:val="1"/>
      <w:jc w:val="both"/>
      <w:outlineLvl w:val="8"/>
    </w:pPr>
    <w:rPr>
      <w:rFonts w:ascii="Arial" w:cs="Arial" w:eastAsia="Arial" w:hAnsi="Arial"/>
      <w:b w:val="1"/>
      <w:bCs w:val="1"/>
      <w:color w:val="000000"/>
      <w:sz w:val="30"/>
      <w:szCs w:val="30"/>
      <w:u w:color="000000"/>
      <w:lang w:val="pt-PT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table" w:styleId="TableNormal1" w:customStyle="1">
    <w:name w:val="Table Normal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</w:rPr>
  </w:style>
  <w:style w:type="paragraph" w:styleId="Rodap">
    <w:name w:val="footer"/>
    <w:pPr>
      <w:tabs>
        <w:tab w:val="center" w:pos="4252"/>
        <w:tab w:val="right" w:pos="8504"/>
      </w:tabs>
    </w:pPr>
    <w:rPr>
      <w:rFonts w:cs="Arial Unicode MS"/>
      <w:color w:val="000000"/>
      <w:sz w:val="24"/>
      <w:szCs w:val="24"/>
      <w:u w:color="000000"/>
      <w:lang w:val="pt-PT"/>
    </w:rPr>
  </w:style>
  <w:style w:type="paragraph" w:styleId="Espaocapa" w:customStyle="1">
    <w:name w:val="Espaço_capa"/>
    <w:pPr>
      <w:suppressAutoHyphens w:val="1"/>
      <w:spacing w:after="120" w:before="120"/>
      <w:jc w:val="center"/>
    </w:pPr>
    <w:rPr>
      <w:rFonts w:ascii="Arial" w:cs="Arial Unicode MS" w:hAnsi="Arial"/>
      <w:color w:val="000000"/>
      <w:sz w:val="36"/>
      <w:szCs w:val="36"/>
      <w:u w:color="000000"/>
      <w:lang w:val="pt-PT"/>
    </w:rPr>
  </w:style>
  <w:style w:type="paragraph" w:styleId="Body" w:customStyle="1">
    <w:name w:val="Body"/>
    <w:rPr>
      <w:rFonts w:eastAsia="Times New Roman"/>
      <w:color w:val="000000"/>
      <w:sz w:val="24"/>
      <w:szCs w:val="24"/>
      <w:u w:color="000000"/>
    </w:rPr>
  </w:style>
  <w:style w:type="paragraph" w:styleId="Comment" w:customStyle="1">
    <w:name w:val="Comment"/>
    <w:pPr>
      <w:spacing w:after="120"/>
    </w:pPr>
    <w:rPr>
      <w:rFonts w:eastAsia="Times New Roman"/>
      <w:i w:val="1"/>
      <w:iCs w:val="1"/>
      <w:color w:val="0000ff"/>
      <w:sz w:val="24"/>
      <w:szCs w:val="24"/>
      <w:u w:color="0000ff"/>
      <w:lang w:val="pt-PT"/>
    </w:rPr>
  </w:style>
  <w:style w:type="paragraph" w:styleId="Heading1-FormatOnly" w:customStyle="1">
    <w:name w:val="Heading 1 - Format Only"/>
    <w:pPr>
      <w:pageBreakBefore w:val="1"/>
      <w:pBdr>
        <w:bottom w:color="808080" w:space="0" w:sz="36" w:val="single"/>
      </w:pBdr>
      <w:spacing w:after="240"/>
    </w:pPr>
    <w:rPr>
      <w:rFonts w:ascii="Arial" w:cs="Arial Unicode MS" w:hAnsi="Arial"/>
      <w:b w:val="1"/>
      <w:bCs w:val="1"/>
      <w:smallCaps w:val="1"/>
      <w:color w:val="000000"/>
      <w:sz w:val="32"/>
      <w:szCs w:val="32"/>
      <w:u w:color="000000"/>
    </w:rPr>
  </w:style>
  <w:style w:type="character" w:styleId="Link" w:customStyle="1">
    <w:name w:val="Link"/>
    <w:rPr>
      <w:color w:val="0000ff"/>
      <w:u w:color="0000ff" w:val="single"/>
    </w:rPr>
  </w:style>
  <w:style w:type="character" w:styleId="Hyperlink0" w:customStyle="1">
    <w:name w:val="Hyperlink.0"/>
    <w:basedOn w:val="Link"/>
    <w:rPr>
      <w:color w:val="000000"/>
      <w:u w:color="0000ff" w:val="none"/>
    </w:rPr>
  </w:style>
  <w:style w:type="paragraph" w:styleId="NormalWeb">
    <w:name w:val="Normal (Web)"/>
    <w:pPr>
      <w:spacing w:after="100" w:before="100"/>
    </w:pPr>
    <w:rPr>
      <w:rFonts w:cs="Arial Unicode MS"/>
      <w:color w:val="000000"/>
      <w:sz w:val="24"/>
      <w:szCs w:val="24"/>
      <w:u w:color="000000"/>
      <w:lang w:val="en-US"/>
    </w:rPr>
  </w:style>
  <w:style w:type="numbering" w:styleId="ImportedStyle2" w:customStyle="1">
    <w:name w:val="Imported Style 2"/>
    <w:pPr>
      <w:numPr>
        <w:numId w:val="1"/>
      </w:numPr>
    </w:pPr>
  </w:style>
  <w:style w:type="numbering" w:styleId="ImportedStyle3" w:customStyle="1">
    <w:name w:val="Imported Style 3"/>
    <w:pPr>
      <w:numPr>
        <w:numId w:val="3"/>
      </w:numPr>
    </w:pPr>
  </w:style>
  <w:style w:type="character" w:styleId="Forte">
    <w:name w:val="Strong"/>
    <w:rPr>
      <w:rFonts w:ascii="Times New Roman" w:cs="Times New Roman" w:eastAsia="Times New Roman" w:hAnsi="Times New Roman"/>
      <w:b w:val="1"/>
      <w:bCs w:val="1"/>
    </w:rPr>
  </w:style>
  <w:style w:type="numbering" w:styleId="ImportedStyle4" w:customStyle="1">
    <w:name w:val="Imported Style 4"/>
    <w:pPr>
      <w:numPr>
        <w:numId w:val="6"/>
      </w:numPr>
    </w:pPr>
  </w:style>
  <w:style w:type="paragraph" w:styleId="Sumrio2">
    <w:name w:val="toc 2"/>
    <w:next w:val="Body"/>
    <w:pPr>
      <w:tabs>
        <w:tab w:val="left" w:pos="800"/>
        <w:tab w:val="right" w:leader="dot" w:pos="8640"/>
      </w:tabs>
    </w:pPr>
    <w:rPr>
      <w:rFonts w:cs="Arial Unicode MS"/>
      <w:b w:val="1"/>
      <w:bCs w:val="1"/>
      <w:smallCaps w:val="1"/>
      <w:color w:val="000000"/>
      <w:sz w:val="28"/>
      <w:szCs w:val="28"/>
      <w:u w:color="000000"/>
    </w:rPr>
  </w:style>
  <w:style w:type="paragraph" w:styleId="Pr-formatao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Courier New" w:hAnsi="Courier New"/>
      <w:color w:val="000000"/>
      <w:u w:color="000000"/>
      <w:lang w:val="pt-PT"/>
    </w:rPr>
  </w:style>
  <w:style w:type="numbering" w:styleId="ImportedStyle5" w:customStyle="1">
    <w:name w:val="Imported Style 5"/>
    <w:pPr>
      <w:numPr>
        <w:numId w:val="10"/>
      </w:numPr>
    </w:pPr>
  </w:style>
  <w:style w:type="paragraph" w:styleId="Requisito" w:customStyle="1">
    <w:name w:val="Requisito"/>
    <w:next w:val="Body"/>
    <w:pPr>
      <w:keepNext w:val="1"/>
      <w:spacing w:after="120" w:before="240"/>
      <w:outlineLvl w:val="1"/>
    </w:pPr>
    <w:rPr>
      <w:rFonts w:ascii="Arial" w:cs="Arial" w:eastAsia="Arial" w:hAnsi="Arial"/>
      <w:b w:val="1"/>
      <w:bCs w:val="1"/>
      <w:color w:val="000000"/>
      <w:sz w:val="24"/>
      <w:szCs w:val="24"/>
      <w:u w:color="000000"/>
    </w:rPr>
  </w:style>
  <w:style w:type="paragraph" w:styleId="TextoNormal" w:customStyle="1">
    <w:name w:val="Texto Normal"/>
    <w:pPr>
      <w:spacing w:after="60" w:before="60"/>
      <w:ind w:left="578"/>
      <w:jc w:val="both"/>
    </w:pPr>
    <w:rPr>
      <w:rFonts w:cs="Arial Unicode MS"/>
      <w:color w:val="000000"/>
      <w:sz w:val="22"/>
      <w:szCs w:val="22"/>
      <w:u w:color="000000"/>
    </w:rPr>
  </w:style>
  <w:style w:type="numbering" w:styleId="ImportedStyle1" w:customStyle="1">
    <w:name w:val="Imported Style 1"/>
    <w:pPr>
      <w:numPr>
        <w:numId w:val="12"/>
      </w:numPr>
    </w:pPr>
  </w:style>
  <w:style w:type="paragraph" w:styleId="Sumrio1">
    <w:name w:val="toc 1"/>
    <w:next w:val="Body"/>
    <w:pPr>
      <w:tabs>
        <w:tab w:val="left" w:pos="360"/>
        <w:tab w:val="right" w:leader="dot" w:pos="8640"/>
      </w:tabs>
      <w:spacing w:after="120" w:before="240"/>
    </w:pPr>
    <w:rPr>
      <w:rFonts w:ascii="Arial" w:cs="Arial Unicode MS" w:hAnsi="Arial"/>
      <w:b w:val="1"/>
      <w:bCs w:val="1"/>
      <w:smallCaps w:val="1"/>
      <w:color w:val="000000"/>
      <w:sz w:val="24"/>
      <w:szCs w:val="24"/>
      <w:u w:color="000000"/>
      <w:lang w:val="pt-PT"/>
    </w:rPr>
  </w:style>
  <w:style w:type="numbering" w:styleId="ImportedStyle6" w:customStyle="1">
    <w:name w:val="Imported Style 6"/>
    <w:pPr>
      <w:numPr>
        <w:numId w:val="14"/>
      </w:numPr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agenciadenoticias.ibge.gov.br/agencia-sala-de-imprensa/2013-agencia-de-noticias/releases/23865-pnad-continua-taxa-de-desocupacao-e-de-12-0-e-taxa-de-subutilizacao-e-de-24-3-no-trimestre-encerrado-em-janeiro-de-2019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HelveticaNeue-boldItalic.ttf"/><Relationship Id="rId5" Type="http://schemas.openxmlformats.org/officeDocument/2006/relationships/font" Target="fonts/Arimo-boldItalic.ttf"/><Relationship Id="rId6" Type="http://schemas.openxmlformats.org/officeDocument/2006/relationships/font" Target="fonts/HelveticaNeue-regular.ttf"/><Relationship Id="rId7" Type="http://schemas.openxmlformats.org/officeDocument/2006/relationships/font" Target="fonts/HelveticaNeue-bold.ttf"/><Relationship Id="rId8" Type="http://schemas.openxmlformats.org/officeDocument/2006/relationships/font" Target="fonts/HelveticaNeue-italic.ttf"/></Relationships>
</file>

<file path=word/theme/theme1.xml><?xml version="1.0" encoding="utf-8"?>
<a:theme xmlns:a="http://schemas.openxmlformats.org/drawingml/2006/main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ql0eWBzdyJT/m0cI4R98x4BLJg==">AMUW2mVp6sKY+zFCEoW1ezSJzTtahhCTzuvU9LwiN79GDSukAgbZtXAPGuJMy01s2jyEkK0hUlHP8rjWGo89EsJJCZDtmc/2AiDMKxee3Fvc3cWmoHaBow5zcVOn/ZUsI+tOGQfv/J6H5Z9j+V8ruQTUDzG94K8MEjpqSUn7iSLbNW6j9gT/208nb993lJ6bl94u9zDBqg+j4vjRqmuB5g+/LHY4QSgmXg==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2019-08-13T21:53:00Z</dcterms:created>
</cp:coreProperties>
</file>