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29247C93"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242638">
        <w:rPr>
          <w:sz w:val="28"/>
          <w:szCs w:val="28"/>
        </w:rPr>
        <w:t>2</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5421E5">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0AD148CE" w:rsidR="00BE5361" w:rsidRDefault="00BE5361" w:rsidP="008C1581">
                            <w:pPr>
                              <w:jc w:val="center"/>
                              <w:rPr>
                                <w:color w:val="808080" w:themeColor="background1" w:themeShade="80"/>
                                <w:sz w:val="26"/>
                                <w:szCs w:val="26"/>
                              </w:rPr>
                            </w:pPr>
                            <w:proofErr w:type="gramStart"/>
                            <w:r w:rsidRPr="008C1581">
                              <w:rPr>
                                <w:color w:val="808080" w:themeColor="background1" w:themeShade="80"/>
                                <w:sz w:val="26"/>
                                <w:szCs w:val="26"/>
                              </w:rPr>
                              <w:t>Late-Breaking</w:t>
                            </w:r>
                            <w:proofErr w:type="gramEnd"/>
                            <w:r w:rsidRPr="008C1581">
                              <w:rPr>
                                <w:color w:val="808080" w:themeColor="background1" w:themeShade="80"/>
                                <w:sz w:val="26"/>
                                <w:szCs w:val="26"/>
                              </w:rPr>
                              <w:t xml:space="preserve"> / Demo Session Extended Abstract, ISMIR 2022</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0AD148CE" w:rsidR="00BE5361" w:rsidRDefault="00BE5361" w:rsidP="008C1581">
                      <w:pPr>
                        <w:jc w:val="center"/>
                        <w:rPr>
                          <w:color w:val="808080" w:themeColor="background1" w:themeShade="80"/>
                          <w:sz w:val="26"/>
                          <w:szCs w:val="26"/>
                        </w:rPr>
                      </w:pPr>
                      <w:proofErr w:type="gramStart"/>
                      <w:r w:rsidRPr="008C1581">
                        <w:rPr>
                          <w:color w:val="808080" w:themeColor="background1" w:themeShade="80"/>
                          <w:sz w:val="26"/>
                          <w:szCs w:val="26"/>
                        </w:rPr>
                        <w:t>Late-Breaking</w:t>
                      </w:r>
                      <w:proofErr w:type="gramEnd"/>
                      <w:r w:rsidRPr="008C1581">
                        <w:rPr>
                          <w:color w:val="808080" w:themeColor="background1" w:themeShade="80"/>
                          <w:sz w:val="26"/>
                          <w:szCs w:val="26"/>
                        </w:rPr>
                        <w:t xml:space="preserve"> / Demo Session Extended Abstract, ISMIR 2022</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701D214E"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w:t>
      </w:r>
      <w:r w:rsidR="00242638">
        <w:t>2022</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5D01440E"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2022</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2022</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2022</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2022</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6389B8A2"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242638">
        <w:t>2022</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4ECFFCF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nV/gEAAOADAAAOAAAAZHJzL2Uyb0RvYy54bWysU9tu2zAMfR+wfxD0vjgJliI14hRdigwD&#10;ugvQ7gNoWbaF2aJGKbGzrx8lJ1m3vQ3zg0BR5CHPIb25G/tOHDV5g7aQi9lcCm0VVsY2hfz6vH+z&#10;lsIHsBV0aHUhT9rLu+3rV5vB5XqJLXaVJsEg1ueDK2QbgsuzzKtW9+Bn6LTlxxqph8BXarKKYGD0&#10;vsuW8/lNNiBVjlBp79n7MD3KbcKva63C57r2OoiukNxbSCels4xntt1A3hC41qhzG/APXfRgLBe9&#10;Qj1AAHEg8xdUbxShxzrMFPYZ1rVROnFgNov5H2yeWnA6cWFxvLvK5P8frPp0/ELCVIVcSmGh5xE9&#10;6zGIdziK9TLKMzifc9ST47gwsp/HnKh694jqmxcWdy3YRt8T4dBqqLi9RczMXqROOD6ClMNHrLgO&#10;HAImoLGmPmrHaghG5zGdrqOJvSh2Lm9X67c3KykUv60X8/XtKpWA/JLtyIf3GnsRjUISjz6hw/HR&#10;h9gN5JeQWMxjZ6q96bp0oabcdSSOwGuyT98Z/bewzsZgizFtQoyeRDMymziGsRzPspVYnZgw4bR2&#10;/Juw0SL9kGLglSuk/34A0lJ0HyyLFvfzYtDFKC8GWMWphQxSTOYuTHt8cGSalpGnsVi8Z2FrkzjH&#10;CUxdnPvkNUpSnFc+7unLe4r69WNufwIAAP//AwBQSwMEFAAGAAgAAAAhADDsZQTgAAAADQEAAA8A&#10;AABkcnMvZG93bnJldi54bWxMT8tOwzAQvCPxD9YicUHUobRNCXEqaOkNDi1Vz268JBHxOrKdJv17&#10;lhPcdnZG88hXo23FGX1oHCl4mCQgkEpnGqoUHD6390sQIWoyunWECi4YYFVcX+U6M26gHZ73sRJs&#10;QiHTCuoYu0zKUNZodZi4Dom5L+etjgx9JY3XA5vbVk6TZCGtbogTat3husbye99bBYuN74cdre82&#10;h7d3/dFV0+Pr5ajU7c348gwi4hj/xPBbn6tDwZ1OricTRMs4WfKWyMeMg0CwZJ4+PoE48Ws+S1OQ&#10;RS7/ryh+AAAA//8DAFBLAQItABQABgAIAAAAIQC2gziS/gAAAOEBAAATAAAAAAAAAAAAAAAAAAAA&#10;AABbQ29udGVudF9UeXBlc10ueG1sUEsBAi0AFAAGAAgAAAAhADj9If/WAAAAlAEAAAsAAAAAAAAA&#10;AAAAAAAALwEAAF9yZWxzLy5yZWxzUEsBAi0AFAAGAAgAAAAhAMvAKdX+AQAA4AMAAA4AAAAAAAAA&#10;AAAAAAAALgIAAGRycy9lMm9Eb2MueG1sUEsBAi0AFAAGAAgAAAAhADDsZQTgAAAADQEAAA8AAAAA&#10;AAAAAAAAAAAAWAQAAGRycy9kb3ducmV2LnhtbFBLBQYAAAAABAAEAPMAAABlBQAAAAA=&#10;" o:allowoverlap="f" stroked="f">
                <v:textbox inset="0,0,0,0">
                  <w:txbxContent>
                    <w:p w14:paraId="3586274C" w14:textId="113F868E"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42638">
                        <w:rPr>
                          <w:sz w:val="16"/>
                          <w:szCs w:val="16"/>
                          <w:lang w:val="en-GB" w:eastAsia="es-ES"/>
                        </w:rPr>
                        <w:t>2</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42638">
                        <w:rPr>
                          <w:i/>
                          <w:iCs/>
                          <w:sz w:val="16"/>
                          <w:szCs w:val="16"/>
                          <w:lang w:val="en-GB" w:eastAsia="es-ES"/>
                        </w:rPr>
                        <w:t>3r</w:t>
                      </w:r>
                      <w:r w:rsidR="006F690B">
                        <w:rPr>
                          <w:i/>
                          <w:iCs/>
                          <w:sz w:val="16"/>
                          <w:szCs w:val="16"/>
                          <w:lang w:val="en-GB" w:eastAsia="es-ES"/>
                        </w:rPr>
                        <w:t>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242638">
                        <w:rPr>
                          <w:sz w:val="16"/>
                          <w:szCs w:val="16"/>
                          <w:lang w:val="en-GB" w:eastAsia="es-ES"/>
                        </w:rPr>
                        <w:t>Bengaluru, India</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42638">
                        <w:rPr>
                          <w:sz w:val="16"/>
                          <w:szCs w:val="16"/>
                          <w:lang w:val="en-GB" w:eastAsia="es-ES"/>
                        </w:rPr>
                        <w:t>2</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w:t>
      </w:r>
      <w:proofErr w:type="gramStart"/>
      <w:r w:rsidR="00BF22B5" w:rsidRPr="00D55BF0">
        <w:rPr>
          <w:rStyle w:val="BodyTextChar"/>
        </w:rPr>
        <w:t>centered.</w:t>
      </w:r>
      <w:r w:rsidR="00BF22B5" w:rsidRPr="00D55BF0">
        <w:rPr>
          <w:rStyle w:val="BodyTextChar"/>
          <w:color w:val="FF0000"/>
        </w:rPr>
        <w:t>.</w:t>
      </w:r>
      <w:proofErr w:type="gramEnd"/>
      <w:r w:rsidR="00BF22B5" w:rsidRPr="00D55BF0">
        <w:rPr>
          <w:rStyle w:val="BodyTextChar"/>
          <w:color w:val="FF0000"/>
        </w:rPr>
        <w:t xml:space="preserve">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186766C1"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w:t>
      </w:r>
      <w:r w:rsidRPr="00D55BF0">
        <w:lastRenderedPageBreak/>
        <w:t xml:space="preserve">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6E044005" w:rsidR="005E354B" w:rsidRPr="00F47FDD" w:rsidRDefault="00242638" w:rsidP="00AB47B2">
            <w:pPr>
              <w:rPr>
                <w:lang w:eastAsia="ja-JP"/>
              </w:rPr>
            </w:pPr>
            <w:r>
              <w:rPr>
                <w:lang w:eastAsia="ja-JP"/>
              </w:rPr>
              <w:t>2022</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600F4D"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pt;height:12.9pt;mso-width-percent:0;mso-height-percent:0;mso-width-percent:0;mso-height-percent:0" o:ole="">
            <v:imagedata r:id="rId13" o:title=""/>
          </v:shape>
          <o:OLEObject Type="Embed" ProgID="Equation.3" ShapeID="_x0000_i1025" DrawAspect="Content" ObjectID="_1726378259"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507D47">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50F5" w14:textId="77777777" w:rsidR="00600F4D" w:rsidRDefault="00600F4D">
      <w:r>
        <w:separator/>
      </w:r>
    </w:p>
  </w:endnote>
  <w:endnote w:type="continuationSeparator" w:id="0">
    <w:p w14:paraId="19870EDA" w14:textId="77777777" w:rsidR="00600F4D" w:rsidRDefault="0060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140E" w14:textId="77777777" w:rsidR="00600F4D" w:rsidRDefault="00600F4D">
      <w:r>
        <w:separator/>
      </w:r>
    </w:p>
  </w:footnote>
  <w:footnote w:type="continuationSeparator" w:id="0">
    <w:p w14:paraId="6ABC3721" w14:textId="77777777" w:rsidR="00600F4D" w:rsidRDefault="00600F4D">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415B"/>
    <w:rsid w:val="005029DA"/>
    <w:rsid w:val="00507D47"/>
    <w:rsid w:val="00513B45"/>
    <w:rsid w:val="00520EE3"/>
    <w:rsid w:val="005307AC"/>
    <w:rsid w:val="005371E7"/>
    <w:rsid w:val="005421E5"/>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4819"/>
    <w:rsid w:val="00994033"/>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A652F"/>
    <w:rsid w:val="00BC6516"/>
    <w:rsid w:val="00BD165B"/>
    <w:rsid w:val="00BE5361"/>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53C9"/>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202</TotalTime>
  <Pages>2</Pages>
  <Words>965</Words>
  <Characters>5504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6457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Siddharth Gururani</cp:lastModifiedBy>
  <cp:revision>76</cp:revision>
  <cp:lastPrinted>2020-01-10T07:11:00Z</cp:lastPrinted>
  <dcterms:created xsi:type="dcterms:W3CDTF">2016-05-23T00:58:00Z</dcterms:created>
  <dcterms:modified xsi:type="dcterms:W3CDTF">2022-10-04T15:45:00Z</dcterms:modified>
  <cp:category/>
</cp:coreProperties>
</file>