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pPr>
      <w:r>
        <w:rPr>
          <w:rFonts w:ascii="Nunito Sans" w:hAnsi="Nunito Sans" w:cs="Nunito Sans"/>
          <w:b/>
          <w:i w:val="0"/>
          <w:color w:val="2C3C52"/>
          <w:sz w:val="40"/>
        </w:rPr>
        <w:t xml:space="preserve">Sales </w:t>
      </w:r>
      <w:r>
        <w:rPr>
          <w:rFonts w:ascii="Nunito Sans" w:hAnsi="Nunito Sans" w:cs="Nunito Sans"/>
          <w:b/>
          <w:i w:val="0"/>
          <w:color w:val="ED174B"/>
          <w:sz w:val="40"/>
        </w:rPr>
        <w:t>Navigator</w:t>
      </w:r>
    </w:p>
    <w:p>
      <w:pPr>
        <w:spacing w:before="0" w:after="40" w:line="300" w:lineRule="auto"/>
        <w:pBdr>
          <w:bottom w:val="single" w:sz="8" w:space="6" w:color="31B7B9"/>
        </w:pBdr>
      </w:pPr>
      <w:r>
        <w:rPr>
          <w:rFonts w:ascii="Nunito Sans" w:hAnsi="Nunito Sans" w:cs="Nunito Sans"/>
          <w:b/>
          <w:i w:val="0"/>
          <w:color w:val="2C3C52"/>
          <w:sz w:val="20"/>
        </w:rPr>
        <w:t>creates</w:t>
      </w:r>
      <w:r>
        <w:rPr>
          <w:rFonts w:ascii="Nunito Sans" w:hAnsi="Nunito Sans" w:cs="Nunito Sans"/>
          <w:b/>
          <w:i w:val="0"/>
          <w:color w:val="ED174B"/>
          <w:sz w:val="20"/>
        </w:rPr>
        <w:t>.</w:t>
      </w:r>
    </w:p>
    <w:p>
      <w:pPr>
        <w:spacing w:before="160" w:after="0" w:line="300" w:lineRule="auto"/>
      </w:pPr>
      <w:r>
        <w:rPr>
          <w:rFonts w:ascii="Nunito Sans" w:hAnsi="Nunito Sans" w:cs="Nunito Sans"/>
          <w:b/>
          <w:i w:val="0"/>
          <w:color w:val="31B7B9"/>
          <w:sz w:val="18"/>
        </w:rPr>
        <w:t>KLANTCASE</w:t>
      </w:r>
    </w:p>
    <w:p>
      <w:pPr>
        <w:spacing w:before="0" w:after="0" w:line="300" w:lineRule="auto"/>
      </w:pPr>
    </w:p>
    <w:p>
      <w:pPr>
        <w:spacing w:before="360" w:after="120" w:line="300" w:lineRule="auto"/>
        <w:pBdr>
          <w:bottom w:val="single" w:sz="6" w:space="4" w:color="31B7B9"/>
        </w:pBdr>
      </w:pPr>
      <w:r>
        <w:rPr>
          <w:rFonts w:ascii="Nunito Sans" w:hAnsi="Nunito Sans" w:cs="Nunito Sans"/>
          <w:b/>
          <w:i w:val="0"/>
          <w:color w:val="31B7B9"/>
          <w:sz w:val="32"/>
        </w:rPr>
        <w:t xml:space="preserve">1.  </w:t>
      </w:r>
      <w:r>
        <w:rPr>
          <w:rFonts w:ascii="Nunito Sans" w:hAnsi="Nunito Sans" w:cs="Nunito Sans"/>
          <w:b/>
          <w:i w:val="0"/>
          <w:color w:val="2C3C52"/>
          <w:sz w:val="32"/>
        </w:rPr>
        <w:t>Case Informatie</w:t>
      </w:r>
    </w:p>
    <w:tbl>
      <w:tblPr>
        <w:tblW w:type="auto" w:w="0"/>
        <w:tblLayout w:type="fixed"/>
        <w:tblLook w:firstColumn="1" w:firstRow="1" w:lastColumn="0" w:lastRow="0" w:noHBand="0" w:noVBand="1" w:val="04A0"/>
      </w:tblPr>
      <w:tblGrid>
        <w:gridCol w:w="2381"/>
        <w:gridCol w:w="7087"/>
      </w:tblGrid>
      <w:tr>
        <w:tc>
          <w:tcPr>
            <w:tcW w:type="dxa" w:w="4986"/>
            <w:tcBorders>
              <w:top w:val="single" w:sz="4" w:space="0" w:color="D9DEE5"/>
              <w:left w:val="single" w:sz="4" w:space="0" w:color="D9DEE5"/>
              <w:bottom w:val="single" w:sz="4" w:space="0" w:color="D9DEE5"/>
              <w:right w:val="single" w:sz="4" w:space="0" w:color="D9DEE5"/>
            </w:tcBorders>
            <w:tcMar>
              <w:top w:w="160" w:type="dxa"/>
              <w:left w:w="240" w:type="dxa"/>
              <w:bottom w:w="160" w:type="dxa"/>
              <w:right w:w="240" w:type="dxa"/>
            </w:tcMar>
            <w:vAlign w:val="center"/>
            <w:shd w:val="clear" w:color="auto" w:fill="F5F7FA"/>
          </w:tcPr>
          <w:p>
            <w:r>
              <w:rPr>
                <w:rFonts w:ascii="Nunito Sans" w:hAnsi="Nunito Sans" w:cs="Nunito Sans"/>
                <w:b/>
                <w:i w:val="0"/>
                <w:color w:val="8A95A8"/>
                <w:sz w:val="16"/>
              </w:rPr>
              <w:t>BEDRIJFSNAAM</w:t>
            </w:r>
          </w:p>
        </w:tc>
        <w:tc>
          <w:tcPr>
            <w:tcW w:type="dxa" w:w="4986"/>
            <w:tcBorders>
              <w:top w:val="single" w:sz="4" w:space="0" w:color="D9DEE5"/>
              <w:left w:val="single" w:sz="4" w:space="0" w:color="D9DEE5"/>
              <w:bottom w:val="single" w:sz="4" w:space="0" w:color="D9DEE5"/>
              <w:right w:val="single" w:sz="4" w:space="0" w:color="D9DEE5"/>
            </w:tcBorders>
            <w:tcMar>
              <w:top w:w="160" w:type="dxa"/>
              <w:left w:w="240" w:type="dxa"/>
              <w:bottom w:w="160" w:type="dxa"/>
              <w:right w:w="240" w:type="dxa"/>
            </w:tcMar>
            <w:vAlign w:val="center"/>
          </w:tcPr>
          <w:p>
            <w:r>
              <w:rPr>
                <w:rFonts w:ascii="Nunito Sans" w:hAnsi="Nunito Sans" w:cs="Nunito Sans"/>
                <w:b w:val="0"/>
                <w:i/>
                <w:color w:val="8A95A8"/>
                <w:sz w:val="24"/>
              </w:rPr>
              <w:t>Tulp Group</w:t>
            </w:r>
          </w:p>
        </w:tc>
      </w:tr>
      <w:tr>
        <w:tc>
          <w:tcPr>
            <w:tcW w:type="dxa" w:w="4986"/>
            <w:tcBorders>
              <w:top w:val="single" w:sz="4" w:space="0" w:color="D9DEE5"/>
              <w:left w:val="single" w:sz="4" w:space="0" w:color="D9DEE5"/>
              <w:bottom w:val="single" w:sz="4" w:space="0" w:color="D9DEE5"/>
              <w:right w:val="single" w:sz="4" w:space="0" w:color="D9DEE5"/>
            </w:tcBorders>
            <w:tcMar>
              <w:top w:w="160" w:type="dxa"/>
              <w:left w:w="240" w:type="dxa"/>
              <w:bottom w:w="160" w:type="dxa"/>
              <w:right w:w="240" w:type="dxa"/>
            </w:tcMar>
            <w:vAlign w:val="center"/>
            <w:shd w:val="clear" w:color="auto" w:fill="F5F7FA"/>
          </w:tcPr>
          <w:p>
            <w:r>
              <w:rPr>
                <w:rFonts w:ascii="Nunito Sans" w:hAnsi="Nunito Sans" w:cs="Nunito Sans"/>
                <w:b/>
                <w:i w:val="0"/>
                <w:color w:val="8A95A8"/>
                <w:sz w:val="16"/>
              </w:rPr>
              <w:t>KORTE OMSCHRIJVING</w:t>
            </w:r>
          </w:p>
        </w:tc>
        <w:tc>
          <w:tcPr>
            <w:tcW w:type="dxa" w:w="4986"/>
            <w:tcBorders>
              <w:top w:val="single" w:sz="4" w:space="0" w:color="D9DEE5"/>
              <w:left w:val="single" w:sz="4" w:space="0" w:color="D9DEE5"/>
              <w:bottom w:val="single" w:sz="4" w:space="0" w:color="D9DEE5"/>
              <w:right w:val="single" w:sz="4" w:space="0" w:color="D9DEE5"/>
            </w:tcBorders>
            <w:tcMar>
              <w:top w:w="160" w:type="dxa"/>
              <w:left w:w="240" w:type="dxa"/>
              <w:bottom w:w="160" w:type="dxa"/>
              <w:right w:w="240" w:type="dxa"/>
            </w:tcMar>
            <w:vAlign w:val="center"/>
          </w:tcPr>
          <w:p>
            <w:r>
              <w:rPr>
                <w:rFonts w:ascii="Nunito Sans" w:hAnsi="Nunito Sans" w:cs="Nunito Sans"/>
                <w:b w:val="0"/>
                <w:i/>
                <w:color w:val="8A95A8"/>
                <w:sz w:val="20"/>
              </w:rPr>
              <w:t>Multi-asset, multi-lender platform voor internationale investeerders en hypotheekverstrekkers op de Nederlandse hypotheekmarkt</w:t>
            </w:r>
          </w:p>
        </w:tc>
      </w:tr>
    </w:tbl>
    <w:p>
      <w:pPr>
        <w:spacing w:before="280" w:after="80" w:line="300" w:lineRule="auto"/>
      </w:pPr>
      <w:r>
        <w:rPr>
          <w:rFonts w:ascii="Nunito Sans" w:hAnsi="Nunito Sans" w:cs="Nunito Sans"/>
          <w:b/>
          <w:i w:val="0"/>
          <w:color w:val="2C3C52"/>
          <w:sz w:val="24"/>
        </w:rPr>
        <w:t>Situatie</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4" w:space="0" w:color="D9DEE5"/>
              <w:bottom w:val="single" w:sz="4" w:space="0" w:color="D9DEE5"/>
              <w:right w:val="single" w:sz="4" w:space="0" w:color="D9DEE5"/>
            </w:tcBorders>
          </w:tcPr>
          <w:p>
            <w:pPr>
              <w:spacing w:after="0" w:line="312" w:lineRule="auto"/>
            </w:pPr>
            <w:r>
              <w:rPr>
                <w:rFonts w:ascii="Nunito Sans" w:hAnsi="Nunito Sans" w:cs="Nunito Sans"/>
                <w:b w:val="0"/>
                <w:i/>
                <w:color w:val="8A95A8"/>
                <w:sz w:val="20"/>
              </w:rPr>
              <w:t>Tulp Group is met de merken Tulp Hypotheken en De Nederlandse actief op de Nederlandse hypotheekmarkt en levert daarnaast diensten aan externe commerciële merken. De bestaande data-oplossing leunde zwaar op Excel-macro's en losse Power BI-rapportages: macro-verwerking liep tegen limieten aan, doorlooptijden liepen op en maandelijkse rapportages naar investeerders waren een handmatig proces. Tulp Group zocht een toekomstbestendig dataplatform met ruimte voor AI en geautomatiseerde externe rapportages.</w:t>
            </w:r>
          </w:p>
        </w:tc>
      </w:tr>
    </w:tbl>
    <w:p>
      <w:pPr>
        <w:spacing w:before="280" w:after="80" w:line="300" w:lineRule="auto"/>
      </w:pPr>
      <w:r>
        <w:rPr>
          <w:rFonts w:ascii="Nunito Sans" w:hAnsi="Nunito Sans" w:cs="Nunito Sans"/>
          <w:b/>
          <w:i w:val="0"/>
          <w:color w:val="2C3C52"/>
          <w:sz w:val="24"/>
        </w:rPr>
        <w:t>Doel</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4" w:space="0" w:color="D9DEE5"/>
              <w:bottom w:val="single" w:sz="4" w:space="0" w:color="D9DEE5"/>
              <w:right w:val="single" w:sz="4" w:space="0" w:color="D9DEE5"/>
            </w:tcBorders>
          </w:tcPr>
          <w:p>
            <w:pPr>
              <w:spacing w:after="0" w:line="312" w:lineRule="auto"/>
            </w:pPr>
            <w:r>
              <w:rPr>
                <w:rFonts w:ascii="Nunito Sans" w:hAnsi="Nunito Sans" w:cs="Nunito Sans"/>
                <w:b w:val="0"/>
                <w:i/>
                <w:color w:val="8A95A8"/>
                <w:sz w:val="20"/>
              </w:rPr>
              <w:t>Eén centraal, schaalbaar en veilig dataplatform realiseren waarop data van STATER, BCMGlobal en aanvullende bronnen wordt verzameld, verwerkt en ontsloten voor interne gebruikers én externe investeerders. Handmatige Excel-macro-verwerking vervangen door een geautomatiseerde pipeline, inclusief geautomatiseerde voortgangsrapportage aan investeerders.</w:t>
            </w:r>
          </w:p>
        </w:tc>
      </w:tr>
    </w:tbl>
    <w:p>
      <w:pPr>
        <w:spacing w:before="280" w:after="80" w:line="300" w:lineRule="auto"/>
      </w:pPr>
      <w:r>
        <w:rPr>
          <w:rFonts w:ascii="Nunito Sans" w:hAnsi="Nunito Sans" w:cs="Nunito Sans"/>
          <w:b/>
          <w:i w:val="0"/>
          <w:color w:val="2C3C52"/>
          <w:sz w:val="24"/>
        </w:rPr>
        <w:t>Oplossing</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4" w:space="0" w:color="D9DEE5"/>
              <w:bottom w:val="single" w:sz="4" w:space="0" w:color="D9DEE5"/>
              <w:right w:val="single" w:sz="4" w:space="0" w:color="D9DEE5"/>
            </w:tcBorders>
          </w:tcPr>
          <w:p>
            <w:pPr>
              <w:spacing w:after="0" w:line="312" w:lineRule="auto"/>
            </w:pPr>
            <w:r>
              <w:rPr>
                <w:rFonts w:ascii="Nunito Sans" w:hAnsi="Nunito Sans" w:cs="Nunito Sans"/>
                <w:b w:val="0"/>
                <w:i/>
                <w:color w:val="8A95A8"/>
                <w:sz w:val="20"/>
              </w:rPr>
              <w:t>Het Tulp Dataplatform is gerealiseerd op Microsoft Fabric met een medaillon-architectuur (Bronze/Silver/Gold lakehouses) in OneLake, verspreid over gescheiden DEV/ACC/PRD workspaces en Azure-subscripties (tlp-dp-dta en tlp-dp-prd). SFTP-ingestie van STATER en bcmpglobal landt in Bronze; Fabric notebooks en Data Factory transformeren data via metadata-gestuurde pipelines naar Silver en Gold. In Gold ligt een stermodel-gebaseerd semantisch model dat Power BI-rapporten en curated-app analyses voedt. Governance is geborgd via OneSecurity en een rol-gebaseerde autorisatiematrix; DataKickstart Pro levert logging, monitoring en standaard-koppelingen. Voor externe stakeholders is een geautomatiseerde investeerdersrapportage gebouwd op Paginated Reports in combinatie met Power Automate, direct gevoed vanuit het platform.</w:t>
            </w:r>
          </w:p>
        </w:tc>
      </w:tr>
    </w:tbl>
    <w:p>
      <w:pPr>
        <w:spacing w:before="280" w:after="80" w:line="300" w:lineRule="auto"/>
      </w:pPr>
      <w:r>
        <w:rPr>
          <w:rFonts w:ascii="Nunito Sans" w:hAnsi="Nunito Sans" w:cs="Nunito Sans"/>
          <w:b/>
          <w:i w:val="0"/>
          <w:color w:val="2C3C52"/>
          <w:sz w:val="24"/>
        </w:rPr>
        <w:t>Resultaat</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4" w:space="0" w:color="D9DEE5"/>
              <w:bottom w:val="single" w:sz="4" w:space="0" w:color="D9DEE5"/>
              <w:right w:val="single" w:sz="4" w:space="0" w:color="D9DEE5"/>
            </w:tcBorders>
          </w:tcPr>
          <w:p>
            <w:pPr>
              <w:spacing w:after="0" w:line="312" w:lineRule="auto"/>
            </w:pPr>
            <w:r>
              <w:rPr>
                <w:rFonts w:ascii="Nunito Sans" w:hAnsi="Nunito Sans" w:cs="Nunito Sans"/>
                <w:b w:val="0"/>
                <w:i/>
                <w:color w:val="8A95A8"/>
                <w:sz w:val="20"/>
              </w:rPr>
              <w:t>Een productief Microsoft Fabric-dataplatform met Bronze/Silver/Gold-lakehouses, automatische dagelijkse verwerking van STATER- en BCMGlobal-data, semantisch model, Power BI-rapportages en een curated app. De handmatige maandelijkse investeerdersrapportage is volledig geautomatiseerd: 80–90% tijdsbesparing ten opzichte van het oude Excel-proces.</w:t>
            </w:r>
          </w:p>
        </w:tc>
      </w:tr>
    </w:tbl>
    <w:p>
      <w:pPr>
        <w:spacing w:before="280" w:after="80" w:line="300" w:lineRule="auto"/>
      </w:pPr>
      <w:r>
        <w:rPr>
          <w:rFonts w:ascii="Nunito Sans" w:hAnsi="Nunito Sans" w:cs="Nunito Sans"/>
          <w:b/>
          <w:i w:val="0"/>
          <w:color w:val="2C3C52"/>
          <w:sz w:val="24"/>
        </w:rPr>
        <w:t>Keywords</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4" w:space="0" w:color="D9DEE5"/>
              <w:bottom w:val="single" w:sz="4" w:space="0" w:color="D9DEE5"/>
              <w:right w:val="single" w:sz="4" w:space="0" w:color="D9DEE5"/>
            </w:tcBorders>
          </w:tcPr>
          <w:p>
            <w:pPr>
              <w:spacing w:after="0" w:line="312" w:lineRule="auto"/>
            </w:pPr>
            <w:r>
              <w:rPr>
                <w:rFonts w:ascii="Nunito Sans" w:hAnsi="Nunito Sans" w:cs="Nunito Sans"/>
                <w:b w:val="0"/>
                <w:i/>
                <w:color w:val="8A95A8"/>
                <w:sz w:val="20"/>
              </w:rPr>
              <w:t>Microsoft Fabric, OneLake, Medallion, Bronze Silver Gold, Lakehouse, Power BI, Paginated Reports, Power Automate, SFTP, STATER, BCMGlobal, Azure, DataKickstart Pro, Data Factory, OneSecurity</w:t>
            </w:r>
          </w:p>
        </w:tc>
      </w:tr>
    </w:tbl>
    <w:p>
      <w:pPr>
        <w:spacing w:before="280" w:after="80" w:line="300" w:lineRule="auto"/>
      </w:pPr>
      <w:r>
        <w:rPr>
          <w:rFonts w:ascii="Nunito Sans" w:hAnsi="Nunito Sans" w:cs="Nunito Sans"/>
          <w:b/>
          <w:i w:val="0"/>
          <w:color w:val="2C3C52"/>
          <w:sz w:val="24"/>
        </w:rPr>
        <w:t>Business Impact</w:t>
      </w:r>
    </w:p>
    <w:tbl>
      <w:tblPr>
        <w:tblW w:type="auto" w:w="0"/>
        <w:tblLook w:firstColumn="1" w:firstRow="1" w:lastColumn="0" w:lastRow="0" w:noHBand="0" w:noVBand="1" w:val="04A0"/>
      </w:tblPr>
      <w:tblGrid>
        <w:gridCol w:w="9972"/>
      </w:tblGrid>
      <w:tr>
        <w:tc>
          <w:tcPr>
            <w:tcW w:type="dxa" w:w="9972"/>
            <w:shd w:val="clear" w:color="auto" w:fill="F5F7FA"/>
            <w:tcMar>
              <w:top w:w="200" w:type="dxa"/>
              <w:left w:w="260" w:type="dxa"/>
              <w:bottom w:w="200" w:type="dxa"/>
              <w:right w:w="260" w:type="dxa"/>
            </w:tcMar>
            <w:tcBorders>
              <w:top w:val="single" w:sz="4" w:space="0" w:color="D9DEE5"/>
              <w:left w:val="single" w:sz="24" w:space="0" w:color="31B7B9"/>
              <w:bottom w:val="single" w:sz="4" w:space="0" w:color="D9DEE5"/>
              <w:right w:val="single" w:sz="4" w:space="0" w:color="D9DEE5"/>
            </w:tcBorders>
          </w:tcPr>
          <w:p>
            <w:pPr>
              <w:spacing w:after="0" w:line="312" w:lineRule="auto"/>
            </w:pPr>
            <w:r>
              <w:rPr>
                <w:rFonts w:ascii="Nunito Sans" w:hAnsi="Nunito Sans" w:cs="Nunito Sans"/>
                <w:b w:val="0"/>
                <w:i/>
                <w:color w:val="8A95A8"/>
                <w:sz w:val="20"/>
              </w:rPr>
              <w:t>Van een kwetsbaar, macro-gedreven Excel-proces naar een schaalbaar en auditbaar Fabric-platform waarop management, analisten én externe investeerders sturen. De geautomatiseerde investeerdersrapportage bespaart 80–90% doorlooptijd per rapportagecyclus en verlaagt het risico op handmatige fouten, terwijl het platform een fundament legt voor AI-toepassingen en verdere datagedreven dienstverlening.</w:t>
            </w:r>
          </w:p>
        </w:tc>
      </w:tr>
    </w:tbl>
    <w:p>
      <w:pPr>
        <w:spacing w:before="0" w:after="80" w:line="300" w:lineRule="auto"/>
      </w:pPr>
    </w:p>
    <w:p>
      <w:pPr>
        <w:spacing w:before="360" w:after="120" w:line="300" w:lineRule="auto"/>
        <w:pBdr>
          <w:bottom w:val="single" w:sz="6" w:space="4" w:color="31B7B9"/>
        </w:pBdr>
      </w:pPr>
      <w:r>
        <w:rPr>
          <w:rFonts w:ascii="Nunito Sans" w:hAnsi="Nunito Sans" w:cs="Nunito Sans"/>
          <w:b/>
          <w:i w:val="0"/>
          <w:color w:val="31B7B9"/>
          <w:sz w:val="32"/>
        </w:rPr>
        <w:t xml:space="preserve">2.  </w:t>
      </w:r>
      <w:r>
        <w:rPr>
          <w:rFonts w:ascii="Nunito Sans" w:hAnsi="Nunito Sans" w:cs="Nunito Sans"/>
          <w:b/>
          <w:i w:val="0"/>
          <w:color w:val="2C3C52"/>
          <w:sz w:val="32"/>
        </w:rPr>
        <w:t>Mapping</w:t>
      </w:r>
    </w:p>
    <w:p>
      <w:pPr>
        <w:spacing w:before="0" w:after="200" w:line="300" w:lineRule="auto"/>
      </w:pPr>
      <w:r>
        <w:rPr>
          <w:rFonts w:ascii="Nunito Sans" w:hAnsi="Nunito Sans" w:cs="Nunito Sans"/>
          <w:b w:val="0"/>
          <w:i/>
          <w:color w:val="8A95A8"/>
          <w:sz w:val="20"/>
        </w:rPr>
        <w:t>Kruis aan welke doelen, behoeften en diensten van toepassing zijn op deze case. Meerdere opties per categorie zijn mogelijk.</w:t>
      </w:r>
    </w:p>
    <w:p>
      <w:pPr>
        <w:spacing w:before="280" w:after="120" w:line="300" w:lineRule="auto"/>
      </w:pPr>
      <w:r>
        <w:rPr>
          <w:rFonts w:ascii="Nunito Sans" w:hAnsi="Nunito Sans" w:cs="Nunito Sans"/>
          <w:b/>
          <w:i w:val="0"/>
          <w:color w:val="ED174B"/>
          <w:sz w:val="28"/>
        </w:rPr>
        <w:t xml:space="preserve">●  </w:t>
      </w:r>
      <w:r>
        <w:rPr>
          <w:rFonts w:ascii="Nunito Sans" w:hAnsi="Nunito Sans" w:cs="Nunito Sans"/>
          <w:b/>
          <w:i w:val="0"/>
          <w:color w:val="2C3C52"/>
          <w:sz w:val="26"/>
        </w:rPr>
        <w:t>Doelen</w:t>
      </w:r>
    </w:p>
    <w:tbl>
      <w:tblPr>
        <w:tblW w:type="auto" w:w="0"/>
        <w:tblLayout w:type="fixed"/>
        <w:tblLook w:firstColumn="1" w:firstRow="1" w:lastColumn="0" w:lastRow="0" w:noHBand="0" w:noVBand="1" w:val="04A0"/>
      </w:tblPr>
      <w:tblGrid>
        <w:gridCol w:w="3685"/>
        <w:gridCol w:w="5783"/>
      </w:tblGrid>
      <w:tr>
        <w:tc>
          <w:tcPr>
            <w:tcW w:type="dxa" w:w="4986"/>
            <w:shd w:val="clear" w:color="auto" w:fill="F5F7FA"/>
            <w:tcBorders>
              <w:top w:val="single" w:sz="4" w:space="0" w:color="D9DEE5"/>
              <w:left w:val="single" w:sz="4" w:space="0" w:color="D9DEE5"/>
              <w:bottom w:val="single" w:sz="10" w:space="0" w:color="ED174B"/>
              <w:right w:val="single" w:sz="4" w:space="0" w:color="D9DEE5"/>
            </w:tcBorders>
            <w:tcMar>
              <w:top w:w="120" w:type="dxa"/>
              <w:left w:w="240" w:type="dxa"/>
              <w:bottom w:w="120" w:type="dxa"/>
              <w:right w:w="240" w:type="dxa"/>
            </w:tcMar>
          </w:tcPr>
          <w:p>
            <w:r>
              <w:rPr>
                <w:rFonts w:ascii="Nunito Sans" w:hAnsi="Nunito Sans" w:cs="Nunito Sans"/>
                <w:b/>
                <w:i w:val="0"/>
                <w:color w:val="ED174B"/>
                <w:sz w:val="16"/>
              </w:rPr>
              <w:t>DOEL</w:t>
            </w:r>
          </w:p>
        </w:tc>
        <w:tc>
          <w:tcPr>
            <w:tcW w:type="dxa" w:w="4986"/>
            <w:shd w:val="clear" w:color="auto" w:fill="F5F7FA"/>
            <w:tcBorders>
              <w:top w:val="single" w:sz="4" w:space="0" w:color="D9DEE5"/>
              <w:left w:val="single" w:sz="4" w:space="0" w:color="D9DEE5"/>
              <w:bottom w:val="single" w:sz="10" w:space="0" w:color="ED174B"/>
              <w:right w:val="single" w:sz="4" w:space="0" w:color="D9DEE5"/>
            </w:tcBorders>
            <w:tcMar>
              <w:top w:w="120" w:type="dxa"/>
              <w:left w:w="240" w:type="dxa"/>
              <w:bottom w:w="120" w:type="dxa"/>
              <w:right w:w="240" w:type="dxa"/>
            </w:tcMar>
          </w:tcPr>
          <w:p>
            <w:r>
              <w:rPr>
                <w:rFonts w:ascii="Nunito Sans" w:hAnsi="Nunito Sans" w:cs="Nunito Sans"/>
                <w:b/>
                <w:i w:val="0"/>
                <w:color w:val="ED174B"/>
                <w:sz w:val="16"/>
              </w:rPr>
              <w:t>TOELICHTING (OPTIONEEL)</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Meer waarde halen uit data</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Versnipperde Excel- en Power BI-inzichten zijn vervangen door één centraal Fabric-platform met een stermodel-gebaseerd semantisch model, waardoor management en analisten sneller en consistenter tot inzichten komen.</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Data als business model</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Data wordt niet alleen intern gebruikt: geautomatiseerde Paginated Reports aan investeerders maken data onderdeel van de dienstverlening van Tulp Group aan haar externe stakeholders.</w:t>
            </w:r>
          </w:p>
        </w:tc>
      </w:tr>
    </w:tbl>
    <w:p>
      <w:pPr>
        <w:spacing w:before="280" w:after="120" w:line="300" w:lineRule="auto"/>
      </w:pPr>
      <w:r>
        <w:rPr>
          <w:rFonts w:ascii="Nunito Sans" w:hAnsi="Nunito Sans" w:cs="Nunito Sans"/>
          <w:b/>
          <w:i w:val="0"/>
          <w:color w:val="31B7B9"/>
          <w:sz w:val="28"/>
        </w:rPr>
        <w:t xml:space="preserve">●  </w:t>
      </w:r>
      <w:r>
        <w:rPr>
          <w:rFonts w:ascii="Nunito Sans" w:hAnsi="Nunito Sans" w:cs="Nunito Sans"/>
          <w:b/>
          <w:i w:val="0"/>
          <w:color w:val="2C3C52"/>
          <w:sz w:val="26"/>
        </w:rPr>
        <w:t>Behoeften</w:t>
      </w:r>
    </w:p>
    <w:tbl>
      <w:tblPr>
        <w:tblW w:type="auto" w:w="0"/>
        <w:tblLayout w:type="fixed"/>
        <w:tblLook w:firstColumn="1" w:firstRow="1" w:lastColumn="0" w:lastRow="0" w:noHBand="0" w:noVBand="1" w:val="04A0"/>
      </w:tblPr>
      <w:tblGrid>
        <w:gridCol w:w="3685"/>
        <w:gridCol w:w="5783"/>
      </w:tblGrid>
      <w:tr>
        <w:tc>
          <w:tcPr>
            <w:tcW w:type="dxa" w:w="4986"/>
            <w:shd w:val="clear" w:color="auto" w:fill="F5F7FA"/>
            <w:tcBorders>
              <w:top w:val="single" w:sz="4" w:space="0" w:color="D9DEE5"/>
              <w:left w:val="single" w:sz="4" w:space="0" w:color="D9DEE5"/>
              <w:bottom w:val="single" w:sz="10" w:space="0" w:color="31B7B9"/>
              <w:right w:val="single" w:sz="4" w:space="0" w:color="D9DEE5"/>
            </w:tcBorders>
            <w:tcMar>
              <w:top w:w="120" w:type="dxa"/>
              <w:left w:w="240" w:type="dxa"/>
              <w:bottom w:w="120" w:type="dxa"/>
              <w:right w:w="240" w:type="dxa"/>
            </w:tcMar>
          </w:tcPr>
          <w:p>
            <w:r>
              <w:rPr>
                <w:rFonts w:ascii="Nunito Sans" w:hAnsi="Nunito Sans" w:cs="Nunito Sans"/>
                <w:b/>
                <w:i w:val="0"/>
                <w:color w:val="31B7B9"/>
                <w:sz w:val="16"/>
              </w:rPr>
              <w:t>BEHOEFTE</w:t>
            </w:r>
          </w:p>
        </w:tc>
        <w:tc>
          <w:tcPr>
            <w:tcW w:type="dxa" w:w="4986"/>
            <w:shd w:val="clear" w:color="auto" w:fill="F5F7FA"/>
            <w:tcBorders>
              <w:top w:val="single" w:sz="4" w:space="0" w:color="D9DEE5"/>
              <w:left w:val="single" w:sz="4" w:space="0" w:color="D9DEE5"/>
              <w:bottom w:val="single" w:sz="10" w:space="0" w:color="31B7B9"/>
              <w:right w:val="single" w:sz="4" w:space="0" w:color="D9DEE5"/>
            </w:tcBorders>
            <w:tcMar>
              <w:top w:w="120" w:type="dxa"/>
              <w:left w:w="240" w:type="dxa"/>
              <w:bottom w:w="120" w:type="dxa"/>
              <w:right w:w="240" w:type="dxa"/>
            </w:tcMar>
          </w:tcPr>
          <w:p>
            <w:r>
              <w:rPr>
                <w:rFonts w:ascii="Nunito Sans" w:hAnsi="Nunito Sans" w:cs="Nunito Sans"/>
                <w:b/>
                <w:i w:val="0"/>
                <w:color w:val="31B7B9"/>
                <w:sz w:val="16"/>
              </w:rPr>
              <w:t>HOE KOMT DIT TERUG IN DE CASE?</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Veilig en betrouwbaar</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Gescheiden DEV/ACC/PRD-workspaces, Azure-subscripties per omgeving, OneSecurity en een rol-gebaseerde autorisatiematrix borgen gecontroleerde toegang; DataKickstart Pro voegt logging en datakwaliteitscontroles toe voor traceerbare verwerking.</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Wendbaar</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De metadata-gestuurde pipelines en medaillon-architectuur in OneLake maken het eenvoudig om nieuwe bronnen, nieuwe rapportages en nieuwe afnemers (intern én extern) aan te sluiten zonder het fundament te raken.</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AI ready</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Fabric levert native integratie met Copilot en AI-workloads; de gecureerde Gold-laag is bewust opgezet als bron voor toekomstige AI- en advanced-analytics use cases bovenop hypotheek- en portefeuilledata.</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Realtime data</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De Bronze-laag en Fabric-pipelines ondersteunen incrementele en near-realtime ingestie vanaf SFTP, zodat rapportagefrequenties van dagelijks tot direct bij binnenkomst configureerbaar zijn.</w:t>
            </w:r>
          </w:p>
        </w:tc>
      </w:tr>
    </w:tbl>
    <w:p>
      <w:pPr>
        <w:spacing w:before="280" w:after="120" w:line="300" w:lineRule="auto"/>
      </w:pPr>
      <w:r>
        <w:rPr>
          <w:rFonts w:ascii="Nunito Sans" w:hAnsi="Nunito Sans" w:cs="Nunito Sans"/>
          <w:b/>
          <w:i w:val="0"/>
          <w:color w:val="ED8936"/>
          <w:sz w:val="28"/>
        </w:rPr>
        <w:t xml:space="preserve">●  </w:t>
      </w:r>
      <w:r>
        <w:rPr>
          <w:rFonts w:ascii="Nunito Sans" w:hAnsi="Nunito Sans" w:cs="Nunito Sans"/>
          <w:b/>
          <w:i w:val="0"/>
          <w:color w:val="2C3C52"/>
          <w:sz w:val="26"/>
        </w:rPr>
        <w:t>Diensten</w:t>
      </w:r>
    </w:p>
    <w:tbl>
      <w:tblPr>
        <w:tblW w:type="auto" w:w="0"/>
        <w:tblLayout w:type="fixed"/>
        <w:tblLook w:firstColumn="1" w:firstRow="1" w:lastColumn="0" w:lastRow="0" w:noHBand="0" w:noVBand="1" w:val="04A0"/>
      </w:tblPr>
      <w:tblGrid>
        <w:gridCol w:w="3685"/>
        <w:gridCol w:w="5783"/>
      </w:tblGrid>
      <w:tr>
        <w:tc>
          <w:tcPr>
            <w:tcW w:type="dxa" w:w="4986"/>
            <w:shd w:val="clear" w:color="auto" w:fill="F5F7FA"/>
            <w:tcBorders>
              <w:top w:val="single" w:sz="4" w:space="0" w:color="D9DEE5"/>
              <w:left w:val="single" w:sz="4" w:space="0" w:color="D9DEE5"/>
              <w:bottom w:val="single" w:sz="10" w:space="0" w:color="ED8936"/>
              <w:right w:val="single" w:sz="4" w:space="0" w:color="D9DEE5"/>
            </w:tcBorders>
            <w:tcMar>
              <w:top w:w="120" w:type="dxa"/>
              <w:left w:w="240" w:type="dxa"/>
              <w:bottom w:w="120" w:type="dxa"/>
              <w:right w:w="240" w:type="dxa"/>
            </w:tcMar>
          </w:tcPr>
          <w:p>
            <w:r>
              <w:rPr>
                <w:rFonts w:ascii="Nunito Sans" w:hAnsi="Nunito Sans" w:cs="Nunito Sans"/>
                <w:b/>
                <w:i w:val="0"/>
                <w:color w:val="ED8936"/>
                <w:sz w:val="16"/>
              </w:rPr>
              <w:t>DIENST</w:t>
            </w:r>
          </w:p>
        </w:tc>
        <w:tc>
          <w:tcPr>
            <w:tcW w:type="dxa" w:w="4986"/>
            <w:shd w:val="clear" w:color="auto" w:fill="F5F7FA"/>
            <w:tcBorders>
              <w:top w:val="single" w:sz="4" w:space="0" w:color="D9DEE5"/>
              <w:left w:val="single" w:sz="4" w:space="0" w:color="D9DEE5"/>
              <w:bottom w:val="single" w:sz="10" w:space="0" w:color="ED8936"/>
              <w:right w:val="single" w:sz="4" w:space="0" w:color="D9DEE5"/>
            </w:tcBorders>
            <w:tcMar>
              <w:top w:w="120" w:type="dxa"/>
              <w:left w:w="240" w:type="dxa"/>
              <w:bottom w:w="120" w:type="dxa"/>
              <w:right w:w="240" w:type="dxa"/>
            </w:tcMar>
          </w:tcPr>
          <w:p>
            <w:r>
              <w:rPr>
                <w:rFonts w:ascii="Nunito Sans" w:hAnsi="Nunito Sans" w:cs="Nunito Sans"/>
                <w:b/>
                <w:i w:val="0"/>
                <w:color w:val="ED8936"/>
                <w:sz w:val="16"/>
              </w:rPr>
              <w:t>HOE IS DIT INGEVULD?</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Data modernisatie</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Migratie van een macro-gedreven Excel-proces naar een modern Microsoft Fabric-platform met OneLake-lakehouses, Data Factory en een Power BI-semantisch model.</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Governance</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OneSecurity, rol-gebaseerde autorisaties, gescheiden OAP-straat en centrale definities in de Gold-laag leggen governance vast; DataKickstart Pro standaardiseert metadata-beheer.</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Data kwaliteit</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Datakwaliteitscontroles in de notebooks valideren aangeleverde bestanden, sluiten foutieve records uit en signaleren actief via het monitoring-dashboard van DataKickstart Pro.</w:t>
            </w:r>
          </w:p>
        </w:tc>
      </w:tr>
      <w:tr>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rPr>
                <w:rFonts w:ascii="Nunito Sans" w:hAnsi="Nunito Sans" w:cs="Nunito Sans"/>
                <w:b/>
                <w:i w:val="0"/>
                <w:color w:val="8A95A8"/>
                <w:sz w:val="24"/>
              </w:rPr>
              <w:t>☑  Training</w:t>
            </w:r>
          </w:p>
        </w:tc>
        <w:tc>
          <w:tcPr>
            <w:tcW w:type="dxa" w:w="4986"/>
            <w:tcBorders>
              <w:top w:val="single" w:sz="4" w:space="0" w:color="D9DEE5"/>
              <w:left w:val="single" w:sz="4" w:space="0" w:color="D9DEE5"/>
              <w:bottom w:val="single" w:sz="4" w:space="0" w:color="D9DEE5"/>
              <w:right w:val="single" w:sz="4" w:space="0" w:color="D9DEE5"/>
            </w:tcBorders>
            <w:tcMar>
              <w:top w:w="150" w:type="dxa"/>
              <w:left w:w="240" w:type="dxa"/>
              <w:bottom w:w="150" w:type="dxa"/>
              <w:right w:w="240" w:type="dxa"/>
            </w:tcMar>
            <w:vAlign w:val="center"/>
          </w:tcPr>
          <w:p>
            <w:r>
              <w:t>Gezamenlijk ontwikkelen van rapportages en analyses in Power BI, documentatie van ontwikkelstandaarden en een kennisoverdracht-sprint zorgen dat Tulp Group het platform zelfstandig kan beheren en uitbreiden.</w:t>
            </w:r>
          </w:p>
        </w:tc>
      </w:tr>
    </w:tbl>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cs="Nunito Sans"/>
      <w:color w:val="2C3C5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