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9F9"/>
  <w:body>
    <w:p w:rsidR="00A7323F" w:rsidRDefault="00A7323F">
      <w:pPr>
        <w:pStyle w:val="Heading1"/>
        <w:spacing w:after="450" w:afterAutospacing="0"/>
        <w:jc w:val="center"/>
        <w:rPr>
          <w:rFonts w:ascii="Arial" w:eastAsia="Times New Roman" w:hAnsi="Arial" w:cs="Arial"/>
          <w:color w:val="2C3E50"/>
          <w:sz w:val="42"/>
          <w:szCs w:val="42"/>
          <w:lang w:val="en"/>
        </w:rPr>
      </w:pPr>
      <w:r>
        <w:rPr>
          <w:rFonts w:ascii="Arial" w:eastAsia="Times New Roman" w:hAnsi="Arial" w:cs="Arial"/>
          <w:color w:val="2C3E50"/>
          <w:sz w:val="42"/>
          <w:szCs w:val="42"/>
          <w:lang w:val="en"/>
        </w:rPr>
        <w:t>ISMS-POL-A.5.19-23 Framework — Stage 1 Control Review Report</w:t>
      </w:r>
    </w:p>
    <w:p w:rsidR="00A7323F" w:rsidRDefault="00A7323F">
      <w:pPr>
        <w:pStyle w:val="Heading2"/>
        <w:pBdr>
          <w:bottom w:val="single" w:sz="12" w:space="8" w:color="ECF0F1"/>
        </w:pBdr>
        <w:spacing w:before="450" w:beforeAutospacing="0" w:after="225" w:afterAutospacing="0"/>
        <w:rPr>
          <w:rFonts w:ascii="Arial" w:eastAsia="Times New Roman" w:hAnsi="Arial" w:cs="Arial"/>
          <w:color w:val="34495E"/>
          <w:sz w:val="33"/>
          <w:szCs w:val="33"/>
          <w:lang w:val="en"/>
        </w:rPr>
      </w:pPr>
      <w:r>
        <w:rPr>
          <w:rFonts w:ascii="Arial" w:eastAsia="Times New Roman" w:hAnsi="Arial" w:cs="Arial"/>
          <w:color w:val="34495E"/>
          <w:sz w:val="33"/>
          <w:szCs w:val="33"/>
          <w:lang w:val="en"/>
        </w:rPr>
        <w:t>Executive Summary</w:t>
      </w:r>
    </w:p>
    <w:p w:rsidR="00A7323F" w:rsidRDefault="00A7323F">
      <w:pPr>
        <w:pStyle w:val="content-paragraph"/>
        <w:rPr>
          <w:rFonts w:ascii="Arial" w:hAnsi="Arial" w:cs="Arial"/>
          <w:color w:val="333333"/>
          <w:lang w:val="en"/>
        </w:rPr>
      </w:pPr>
      <w:r>
        <w:rPr>
          <w:rFonts w:ascii="Arial" w:hAnsi="Arial" w:cs="Arial"/>
          <w:color w:val="333333"/>
          <w:lang w:val="en"/>
        </w:rPr>
        <w:t>This framework provides comprehensive coverage of supplier and cloud services security requirements. The modular architecture, systems engineering methodology, and quantitative assessment approach demonstrate mature security governance that exceeds typical implementations.</w:t>
      </w:r>
    </w:p>
    <w:tbl>
      <w:tblPr>
        <w:tblW w:w="5000" w:type="pct"/>
        <w:tblCellMar>
          <w:top w:w="15" w:type="dxa"/>
          <w:left w:w="15" w:type="dxa"/>
          <w:bottom w:w="15" w:type="dxa"/>
          <w:right w:w="15" w:type="dxa"/>
        </w:tblCellMar>
        <w:tblLook w:val="04A0" w:firstRow="1" w:lastRow="0" w:firstColumn="1" w:lastColumn="0" w:noHBand="0" w:noVBand="1"/>
      </w:tblPr>
      <w:tblGrid>
        <w:gridCol w:w="2539"/>
        <w:gridCol w:w="6471"/>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Assessment Category</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Result</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Stage 1 Readiness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r>
              <w:rPr>
                <w:rFonts w:ascii="Arial" w:eastAsia="Times New Roman" w:hAnsi="Arial" w:cs="Arial"/>
                <w:color w:val="333333"/>
              </w:rPr>
              <w:t xml:space="preserve"> PASS with recommendations</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Control Coverage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Complete — all five controls adequately addressed</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Governance Structure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Strong — clear ownership, approval chains, review cycles</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Regulatory Alignment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Good — nDSG, GDPR, DORA, NIS2 addressed; minor gaps in flow-through</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Internal Consistency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Moderate issues — naming conventions, cross-references need alignment</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Audit Readiness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Good — evidence requirements defined, assessment methodology sound</w:t>
            </w:r>
          </w:p>
        </w:tc>
      </w:tr>
    </w:tbl>
    <w:p w:rsidR="00A7323F" w:rsidRDefault="00A7323F">
      <w:pPr>
        <w:pStyle w:val="content-paragraph"/>
        <w:rPr>
          <w:rFonts w:ascii="Arial" w:hAnsi="Arial" w:cs="Arial"/>
          <w:color w:val="333333"/>
          <w:lang w:val="en"/>
        </w:rPr>
      </w:pPr>
      <w:r>
        <w:rPr>
          <w:rStyle w:val="Strong"/>
          <w:rFonts w:ascii="Arial" w:hAnsi="Arial" w:cs="Arial"/>
          <w:color w:val="333333"/>
          <w:lang w:val="en"/>
        </w:rPr>
        <w:t>Critical Issues:</w:t>
      </w:r>
      <w:r>
        <w:rPr>
          <w:rFonts w:ascii="Arial" w:hAnsi="Arial" w:cs="Arial"/>
          <w:color w:val="333333"/>
          <w:lang w:val="en"/>
        </w:rPr>
        <w:t xml:space="preserve"> 0</w:t>
      </w:r>
    </w:p>
    <w:p w:rsidR="00A7323F" w:rsidRDefault="00A7323F">
      <w:pPr>
        <w:pStyle w:val="content-paragraph"/>
        <w:rPr>
          <w:rFonts w:ascii="Arial" w:hAnsi="Arial" w:cs="Arial"/>
          <w:color w:val="333333"/>
          <w:lang w:val="en"/>
        </w:rPr>
      </w:pPr>
      <w:r>
        <w:rPr>
          <w:rStyle w:val="Strong"/>
          <w:rFonts w:ascii="Arial" w:hAnsi="Arial" w:cs="Arial"/>
          <w:color w:val="333333"/>
          <w:lang w:val="en"/>
        </w:rPr>
        <w:t>Moderate Issues:</w:t>
      </w:r>
      <w:r>
        <w:rPr>
          <w:rFonts w:ascii="Arial" w:hAnsi="Arial" w:cs="Arial"/>
          <w:color w:val="333333"/>
          <w:lang w:val="en"/>
        </w:rPr>
        <w:t xml:space="preserve"> 9</w:t>
      </w:r>
    </w:p>
    <w:p w:rsidR="00A7323F" w:rsidRDefault="00A7323F">
      <w:pPr>
        <w:pStyle w:val="content-paragraph"/>
        <w:rPr>
          <w:rFonts w:ascii="Arial" w:hAnsi="Arial" w:cs="Arial"/>
          <w:color w:val="333333"/>
          <w:lang w:val="en"/>
        </w:rPr>
      </w:pPr>
      <w:r>
        <w:rPr>
          <w:rStyle w:val="Strong"/>
          <w:rFonts w:ascii="Arial" w:hAnsi="Arial" w:cs="Arial"/>
          <w:color w:val="333333"/>
          <w:lang w:val="en"/>
        </w:rPr>
        <w:t>Minor Observations:</w:t>
      </w:r>
      <w:r>
        <w:rPr>
          <w:rFonts w:ascii="Arial" w:hAnsi="Arial" w:cs="Arial"/>
          <w:color w:val="333333"/>
          <w:lang w:val="en"/>
        </w:rPr>
        <w:t xml:space="preserve"> 8</w:t>
      </w:r>
    </w:p>
    <w:p w:rsidR="00A7323F" w:rsidRDefault="00A7323F">
      <w:pPr>
        <w:pStyle w:val="Heading2"/>
        <w:pBdr>
          <w:bottom w:val="single" w:sz="12" w:space="8" w:color="ECF0F1"/>
        </w:pBdr>
        <w:spacing w:before="450" w:beforeAutospacing="0" w:after="225" w:afterAutospacing="0"/>
        <w:rPr>
          <w:rFonts w:ascii="Arial" w:eastAsia="Times New Roman" w:hAnsi="Arial" w:cs="Arial"/>
          <w:color w:val="34495E"/>
          <w:sz w:val="33"/>
          <w:szCs w:val="33"/>
          <w:lang w:val="en"/>
        </w:rPr>
      </w:pPr>
      <w:r>
        <w:rPr>
          <w:rFonts w:ascii="Arial" w:eastAsia="Times New Roman" w:hAnsi="Arial" w:cs="Arial"/>
          <w:color w:val="34495E"/>
          <w:sz w:val="33"/>
          <w:szCs w:val="33"/>
          <w:lang w:val="en"/>
        </w:rPr>
        <w:lastRenderedPageBreak/>
        <w:t>Control Coverage Assessment</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A.5.19 — Information Security in Supplier Relationships</w:t>
      </w:r>
    </w:p>
    <w:tbl>
      <w:tblPr>
        <w:tblW w:w="5000" w:type="pct"/>
        <w:tblCellMar>
          <w:top w:w="15" w:type="dxa"/>
          <w:left w:w="15" w:type="dxa"/>
          <w:bottom w:w="15" w:type="dxa"/>
          <w:right w:w="15" w:type="dxa"/>
        </w:tblCellMar>
        <w:tblLook w:val="04A0" w:firstRow="1" w:lastRow="0" w:firstColumn="1" w:lastColumn="0" w:noHBand="0" w:noVBand="1"/>
      </w:tblPr>
      <w:tblGrid>
        <w:gridCol w:w="5407"/>
        <w:gridCol w:w="1596"/>
        <w:gridCol w:w="2007"/>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Covered</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Location</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Supplier identification and classification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Section 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Risk assessment methodology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Section 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Due diligence requirements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Section 5</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Security requirements communication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Section 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Supplier register maintenance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Section 7</w:t>
            </w:r>
          </w:p>
        </w:tc>
      </w:tr>
    </w:tbl>
    <w:p w:rsidR="00A7323F" w:rsidRDefault="00A7323F">
      <w:pPr>
        <w:pStyle w:val="content-paragraph"/>
        <w:rPr>
          <w:rFonts w:ascii="Arial" w:hAnsi="Arial" w:cs="Arial"/>
          <w:color w:val="333333"/>
          <w:lang w:val="en"/>
        </w:rPr>
      </w:pPr>
      <w:r>
        <w:rPr>
          <w:rStyle w:val="Strong"/>
          <w:rFonts w:ascii="Arial" w:hAnsi="Arial" w:cs="Arial"/>
          <w:color w:val="333333"/>
          <w:lang w:val="en"/>
        </w:rPr>
        <w:t>Assessment:</w:t>
      </w:r>
      <w:r>
        <w:rPr>
          <w:rFonts w:ascii="Arial" w:hAnsi="Arial" w:cs="Arial"/>
          <w:color w:val="333333"/>
          <w:lang w:val="en"/>
        </w:rPr>
        <w:t xml:space="preserve"> </w:t>
      </w:r>
      <w:r>
        <w:rPr>
          <w:rFonts w:ascii="Arial" w:hAnsi="Arial" w:cs="Arial"/>
          <w:color w:val="333333"/>
          <w:lang w:val="en"/>
        </w:rPr>
        <w:t>Fully addressed. Classification matrix (Section 3.3) provides clear, auditable criteria.</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A.5.20 — Addressing Information Security in Supplier Agreements</w:t>
      </w:r>
    </w:p>
    <w:tbl>
      <w:tblPr>
        <w:tblW w:w="5000" w:type="pct"/>
        <w:tblCellMar>
          <w:top w:w="15" w:type="dxa"/>
          <w:left w:w="15" w:type="dxa"/>
          <w:bottom w:w="15" w:type="dxa"/>
          <w:right w:w="15" w:type="dxa"/>
        </w:tblCellMar>
        <w:tblLook w:val="04A0" w:firstRow="1" w:lastRow="0" w:firstColumn="1" w:lastColumn="0" w:noHBand="0" w:noVBand="1"/>
      </w:tblPr>
      <w:tblGrid>
        <w:gridCol w:w="4825"/>
        <w:gridCol w:w="1667"/>
        <w:gridCol w:w="2518"/>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Covered</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Location</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Mandatory security clauses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 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Confidentiality obligations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 3.2</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Data protection compliance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 3.3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Incident notification requirements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 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Audit rights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 5</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Subcontractor restrictions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 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Termination and exit provisions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Sections 8-9</w:t>
            </w:r>
          </w:p>
        </w:tc>
      </w:tr>
    </w:tbl>
    <w:p w:rsidR="00A7323F" w:rsidRDefault="00A7323F">
      <w:pPr>
        <w:pStyle w:val="content-paragraph"/>
        <w:rPr>
          <w:rFonts w:ascii="Arial" w:hAnsi="Arial" w:cs="Arial"/>
          <w:color w:val="333333"/>
          <w:lang w:val="en"/>
        </w:rPr>
      </w:pPr>
      <w:r>
        <w:rPr>
          <w:rStyle w:val="Strong"/>
          <w:rFonts w:ascii="Arial" w:hAnsi="Arial" w:cs="Arial"/>
          <w:color w:val="333333"/>
          <w:lang w:val="en"/>
        </w:rPr>
        <w:t>Assessment:</w:t>
      </w:r>
      <w:r>
        <w:rPr>
          <w:rFonts w:ascii="Arial" w:hAnsi="Arial" w:cs="Arial"/>
          <w:color w:val="333333"/>
          <w:lang w:val="en"/>
        </w:rPr>
        <w:t xml:space="preserve"> Fully addressed. Clause requirements matrix by supplier level (Section 3.1) enables consistent contract review.</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A.5.21 — Managing Information Security in the ICT Supply Chain</w:t>
      </w:r>
    </w:p>
    <w:tbl>
      <w:tblPr>
        <w:tblW w:w="5000" w:type="pct"/>
        <w:tblCellMar>
          <w:top w:w="15" w:type="dxa"/>
          <w:left w:w="15" w:type="dxa"/>
          <w:bottom w:w="15" w:type="dxa"/>
          <w:right w:w="15" w:type="dxa"/>
        </w:tblCellMar>
        <w:tblLook w:val="04A0" w:firstRow="1" w:lastRow="0" w:firstColumn="1" w:lastColumn="0" w:noHBand="0" w:noVBand="1"/>
      </w:tblPr>
      <w:tblGrid>
        <w:gridCol w:w="5130"/>
        <w:gridCol w:w="1719"/>
        <w:gridCol w:w="2161"/>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Covered</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Location</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Sub-supplier visibility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Fourth-party risk management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Software supply chain security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5</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Hardware supply chain security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Service dependency management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7</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Flow-down requirements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9</w:t>
            </w:r>
          </w:p>
        </w:tc>
      </w:tr>
    </w:tbl>
    <w:p w:rsidR="00A7323F" w:rsidRDefault="00A7323F">
      <w:pPr>
        <w:pStyle w:val="content-paragraph"/>
        <w:rPr>
          <w:rFonts w:ascii="Arial" w:hAnsi="Arial" w:cs="Arial"/>
          <w:color w:val="333333"/>
          <w:lang w:val="en"/>
        </w:rPr>
      </w:pPr>
      <w:r>
        <w:rPr>
          <w:rStyle w:val="Strong"/>
          <w:rFonts w:ascii="Arial" w:hAnsi="Arial" w:cs="Arial"/>
          <w:color w:val="333333"/>
          <w:lang w:val="en"/>
        </w:rPr>
        <w:t>Assessment:</w:t>
      </w:r>
      <w:r>
        <w:rPr>
          <w:rFonts w:ascii="Arial" w:hAnsi="Arial" w:cs="Arial"/>
          <w:color w:val="333333"/>
          <w:lang w:val="en"/>
        </w:rPr>
        <w:t xml:space="preserve"> Fully addressed. SBOM requirements (Section 5.3) and fourth-party visibility (Section 4) exceed typical implementations.</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A.5.22 — Monitoring, Review and Change Management of Supplier Services</w:t>
      </w:r>
    </w:p>
    <w:tbl>
      <w:tblPr>
        <w:tblW w:w="5000" w:type="pct"/>
        <w:tblCellMar>
          <w:top w:w="15" w:type="dxa"/>
          <w:left w:w="15" w:type="dxa"/>
          <w:bottom w:w="15" w:type="dxa"/>
          <w:right w:w="15" w:type="dxa"/>
        </w:tblCellMar>
        <w:tblLook w:val="04A0" w:firstRow="1" w:lastRow="0" w:firstColumn="1" w:lastColumn="0" w:noHBand="0" w:noVBand="1"/>
      </w:tblPr>
      <w:tblGrid>
        <w:gridCol w:w="4866"/>
        <w:gridCol w:w="1836"/>
        <w:gridCol w:w="2308"/>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Covered</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Location</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Review cycles defined</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 Section 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Performance monitoring</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 Section 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Security assessment methods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 Section 5</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Compliance monitoring</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 Section 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Change management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 Section 7</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Incident review</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 Section 9</w:t>
            </w:r>
          </w:p>
        </w:tc>
      </w:tr>
    </w:tbl>
    <w:p w:rsidR="00A7323F" w:rsidRDefault="00A7323F">
      <w:pPr>
        <w:pStyle w:val="content-paragraph"/>
        <w:rPr>
          <w:rFonts w:ascii="Arial" w:hAnsi="Arial" w:cs="Arial"/>
          <w:color w:val="333333"/>
          <w:lang w:val="en"/>
        </w:rPr>
      </w:pPr>
      <w:r>
        <w:rPr>
          <w:rStyle w:val="Strong"/>
          <w:rFonts w:ascii="Arial" w:hAnsi="Arial" w:cs="Arial"/>
          <w:color w:val="333333"/>
          <w:lang w:val="en"/>
        </w:rPr>
        <w:t>Assessment:</w:t>
      </w:r>
      <w:r>
        <w:rPr>
          <w:rFonts w:ascii="Arial" w:hAnsi="Arial" w:cs="Arial"/>
          <w:color w:val="333333"/>
          <w:lang w:val="en"/>
        </w:rPr>
        <w:t xml:space="preserve"> Fully addressed. Change review process (Section 7.3) provides clear governance workflow.</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A.5.23 — Information Security for Use of Cloud Services</w:t>
      </w:r>
    </w:p>
    <w:tbl>
      <w:tblPr>
        <w:tblW w:w="5000" w:type="pct"/>
        <w:tblCellMar>
          <w:top w:w="15" w:type="dxa"/>
          <w:left w:w="15" w:type="dxa"/>
          <w:bottom w:w="15" w:type="dxa"/>
          <w:right w:w="15" w:type="dxa"/>
        </w:tblCellMar>
        <w:tblLook w:val="04A0" w:firstRow="1" w:lastRow="0" w:firstColumn="1" w:lastColumn="0" w:noHBand="0" w:noVBand="1"/>
      </w:tblPr>
      <w:tblGrid>
        <w:gridCol w:w="5145"/>
        <w:gridCol w:w="1712"/>
        <w:gridCol w:w="2153"/>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Covered</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Location</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Cloud service lifecycle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Selection and evaluation criteria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Secure configuration requirements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5</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Operational management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Shared responsibility model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7</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Exit strategy requirements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Segoe UI Emoji" w:eastAsia="Times New Roman" w:hAnsi="Segoe UI Emoji" w:cs="Segoe UI Emoj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8</w:t>
            </w:r>
          </w:p>
        </w:tc>
      </w:tr>
    </w:tbl>
    <w:p w:rsidR="00A7323F" w:rsidRDefault="00A7323F">
      <w:pPr>
        <w:pStyle w:val="content-paragraph"/>
        <w:rPr>
          <w:rFonts w:ascii="Arial" w:hAnsi="Arial" w:cs="Arial"/>
          <w:color w:val="333333"/>
          <w:lang w:val="en"/>
        </w:rPr>
      </w:pPr>
      <w:r>
        <w:rPr>
          <w:rStyle w:val="Strong"/>
          <w:rFonts w:ascii="Arial" w:hAnsi="Arial" w:cs="Arial"/>
          <w:color w:val="333333"/>
          <w:lang w:val="en"/>
        </w:rPr>
        <w:t>Assessment:</w:t>
      </w:r>
      <w:r>
        <w:rPr>
          <w:rFonts w:ascii="Arial" w:hAnsi="Arial" w:cs="Arial"/>
          <w:color w:val="333333"/>
          <w:lang w:val="en"/>
        </w:rPr>
        <w:t xml:space="preserve"> </w:t>
      </w:r>
      <w:r>
        <w:rPr>
          <w:rFonts w:ascii="Arial" w:hAnsi="Arial" w:cs="Arial"/>
          <w:color w:val="333333"/>
          <w:lang w:val="en"/>
        </w:rPr>
        <w:t>Fully addressed. Exit planning depth (Section 8) and shared responsibility documentation (Section 7) are strengths.</w:t>
      </w:r>
    </w:p>
    <w:p w:rsidR="00A7323F" w:rsidRDefault="00A7323F">
      <w:pPr>
        <w:pStyle w:val="Heading2"/>
        <w:pBdr>
          <w:bottom w:val="single" w:sz="12" w:space="8" w:color="ECF0F1"/>
        </w:pBdr>
        <w:spacing w:before="450" w:beforeAutospacing="0" w:after="225" w:afterAutospacing="0"/>
        <w:rPr>
          <w:rFonts w:ascii="Arial" w:eastAsia="Times New Roman" w:hAnsi="Arial" w:cs="Arial"/>
          <w:color w:val="34495E"/>
          <w:sz w:val="33"/>
          <w:szCs w:val="33"/>
          <w:lang w:val="en"/>
        </w:rPr>
      </w:pPr>
      <w:r>
        <w:rPr>
          <w:rFonts w:ascii="Arial" w:eastAsia="Times New Roman" w:hAnsi="Arial" w:cs="Arial"/>
          <w:color w:val="34495E"/>
          <w:sz w:val="33"/>
          <w:szCs w:val="33"/>
          <w:lang w:val="en"/>
        </w:rPr>
        <w:t>Detailed Findings</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Moderate Issues (Should Fix Before Stage 1)</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M1. Inconsistent Document ID References</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w:t>
      </w:r>
      <w:r>
        <w:rPr>
          <w:rFonts w:ascii="Arial" w:hAnsi="Arial" w:cs="Arial"/>
          <w:color w:val="333333"/>
          <w:lang w:val="en"/>
        </w:rPr>
        <w:t>Multiple documents</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Audit trail confusion, potential evidence retrieval issues</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Assessment workbook document IDs are referenced inconsistently across the framework:</w:t>
      </w:r>
    </w:p>
    <w:tbl>
      <w:tblPr>
        <w:tblW w:w="5000" w:type="pct"/>
        <w:tblCellMar>
          <w:top w:w="15" w:type="dxa"/>
          <w:left w:w="15" w:type="dxa"/>
          <w:bottom w:w="15" w:type="dxa"/>
          <w:right w:w="15" w:type="dxa"/>
        </w:tblCellMar>
        <w:tblLook w:val="04A0" w:firstRow="1" w:lastRow="0" w:firstColumn="1" w:lastColumn="0" w:noHBand="0" w:noVBand="1"/>
      </w:tblPr>
      <w:tblGrid>
        <w:gridCol w:w="3119"/>
        <w:gridCol w:w="5891"/>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Document</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Reference Format Used</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Master Index Section 3.1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`ISMS-IMP-5.23.1`, `ISMS-IMP-5.23.2`</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Section 9</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`ISMS-IMP-A.5.19-23.1`, `ISMS-IMP-A.5.19-23.2`</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S2 Section 12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`ISMS-IMP-A.5.19-23.3`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S6 throughout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`ISMS-IMP-5.23.1`, `ISMS-IMP-5.23.2`</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 Section 5.2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`ISMS-IMP-A.5.23.x`, `ISMS-IMP-A.8.10.3`</w:t>
            </w:r>
          </w:p>
        </w:tc>
      </w:tr>
    </w:tbl>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M2. Missing Linkage Between Supplier Classification and Cloud Service Approval</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ISMS-POL-A.5.19-23-S5 Section 4.5</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Potential for inconsistent treatment of cloud providers vs. traditional suppliers</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S5 defines cloud service approval requirements based on data classification but doesn't reference the supplier classification framework from S1. Cloud service providers are suppliers, and the interaction between these frameworks should be explicit.</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M3. S4 Review Cycle Inconsistency</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ISMS-POL-A.5.19-23-S4 Document Control</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Operational burden, inconsistency with framework design</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S4 specifies "Quarterly" review cycle in Document Control, while other sections specify "Annual or upon significant changes." Quarterly policy reviews are operationally burdensome and inconsistent with the framework's design philosophy of stable policies with operational procedures.</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M4. Sheet Count Discrepancies in S6 Workbook Specifications</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ISMS-POL-A.5.19-23-S6 Sections 3.3, 3.4, 3.5</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Generator script validation failures, stakeholder confusion</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Stated sheet counts don't match listed sheets:</w:t>
      </w:r>
    </w:p>
    <w:tbl>
      <w:tblPr>
        <w:tblW w:w="5000" w:type="pct"/>
        <w:tblCellMar>
          <w:top w:w="15" w:type="dxa"/>
          <w:left w:w="15" w:type="dxa"/>
          <w:bottom w:w="15" w:type="dxa"/>
          <w:right w:w="15" w:type="dxa"/>
        </w:tblCellMar>
        <w:tblLook w:val="04A0" w:firstRow="1" w:lastRow="0" w:firstColumn="1" w:lastColumn="0" w:noHBand="0" w:noVBand="1"/>
      </w:tblPr>
      <w:tblGrid>
        <w:gridCol w:w="4028"/>
        <w:gridCol w:w="2482"/>
        <w:gridCol w:w="2500"/>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Workbook</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Stated Count</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Actual Listed</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Workbook 3 (Section 3.3)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11 sheets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 xml:space="preserve">11 sheets </w:t>
            </w:r>
            <w:r>
              <w:rPr>
                <w:rFonts w:ascii="Segoe UI Emoji" w:eastAsia="Times New Roman" w:hAnsi="Segoe UI Emoji" w:cs="Segoe UI Emoji"/>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Workbook 4 (Section 3.4)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10 sheets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 xml:space="preserve">11 sheets </w:t>
            </w:r>
            <w:r>
              <w:rPr>
                <w:rFonts w:ascii="Segoe UI Emoji" w:eastAsia="Times New Roman" w:hAnsi="Segoe UI Emoji" w:cs="Segoe UI Emoji"/>
                <w:color w:val="333333"/>
              </w:rPr>
              <w:t>❌</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Workbook 5 (Section 3.5)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9 sheets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 xml:space="preserve">9 sheets </w:t>
            </w:r>
            <w:r>
              <w:rPr>
                <w:rFonts w:ascii="Segoe UI Emoji" w:eastAsia="Times New Roman" w:hAnsi="Segoe UI Emoji" w:cs="Segoe UI Emoji"/>
                <w:color w:val="333333"/>
              </w:rPr>
              <w:t>✅</w:t>
            </w:r>
          </w:p>
        </w:tc>
      </w:tr>
    </w:tbl>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M5. Missing RACI Matrix for Cross-Functional Accountability</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Framework-wide (Master Index Section 5)</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Unclear accountability for cross-functional activities</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Roles are defined in multiple locations (Master Index Section 5, S1 Section 8, S4 Sections 8.2-8.3, S6 Section 8.1), but no consolidated RACI matrix shows accountability across the complete supplier/cloud lifecycle.</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M6. Regulatory Requirements Not Flowing Through to Operational Sections</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ISMS-POL-A.5.19-23-S1 through S4</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w:t>
      </w:r>
      <w:r>
        <w:rPr>
          <w:rFonts w:ascii="Arial" w:hAnsi="Arial" w:cs="Arial"/>
          <w:color w:val="333333"/>
          <w:lang w:val="en"/>
        </w:rPr>
        <w:t>DORA/NIS2-subject organizations may miss mandatory requirements</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The Master Index extensively documents DORA, NIS2, and AI Act conditional requirements (Sections 6.5, 11.3), but these don't flow through to operational sections S1-S4. For example:</w:t>
      </w:r>
    </w:p>
    <w:p w:rsidR="00A7323F" w:rsidRDefault="00A7323F">
      <w:pPr>
        <w:numPr>
          <w:ilvl w:val="0"/>
          <w:numId w:val="1"/>
        </w:numPr>
        <w:spacing w:before="100" w:beforeAutospacing="1" w:after="75"/>
        <w:rPr>
          <w:rFonts w:ascii="Arial" w:eastAsia="Times New Roman" w:hAnsi="Arial" w:cs="Arial"/>
          <w:color w:val="333333"/>
          <w:lang w:val="en"/>
        </w:rPr>
      </w:pPr>
      <w:r>
        <w:rPr>
          <w:rFonts w:ascii="Arial" w:eastAsia="Times New Roman" w:hAnsi="Arial" w:cs="Arial"/>
          <w:color w:val="333333"/>
          <w:lang w:val="en"/>
        </w:rPr>
        <w:t>S1 doesn't mention DORA's concentration risk requirements</w:t>
      </w:r>
    </w:p>
    <w:p w:rsidR="00A7323F" w:rsidRDefault="00A7323F">
      <w:pPr>
        <w:numPr>
          <w:ilvl w:val="0"/>
          <w:numId w:val="1"/>
        </w:numPr>
        <w:spacing w:before="100" w:beforeAutospacing="1" w:after="75"/>
        <w:rPr>
          <w:rFonts w:ascii="Arial" w:eastAsia="Times New Roman" w:hAnsi="Arial" w:cs="Arial"/>
          <w:color w:val="333333"/>
          <w:lang w:val="en"/>
        </w:rPr>
      </w:pPr>
      <w:r>
        <w:rPr>
          <w:rFonts w:ascii="Arial" w:eastAsia="Times New Roman" w:hAnsi="Arial" w:cs="Arial"/>
          <w:color w:val="333333"/>
          <w:lang w:val="en"/>
        </w:rPr>
        <w:t>S2 doesn't reference DORA Article 30 mandatory contract provisions</w:t>
      </w:r>
    </w:p>
    <w:p w:rsidR="00A7323F" w:rsidRDefault="00A7323F">
      <w:pPr>
        <w:numPr>
          <w:ilvl w:val="0"/>
          <w:numId w:val="1"/>
        </w:numPr>
        <w:spacing w:before="100" w:beforeAutospacing="1" w:after="75"/>
        <w:rPr>
          <w:rFonts w:ascii="Arial" w:eastAsia="Times New Roman" w:hAnsi="Arial" w:cs="Arial"/>
          <w:color w:val="333333"/>
          <w:lang w:val="en"/>
        </w:rPr>
      </w:pPr>
      <w:r>
        <w:rPr>
          <w:rFonts w:ascii="Arial" w:eastAsia="Times New Roman" w:hAnsi="Arial" w:cs="Arial"/>
          <w:color w:val="333333"/>
          <w:lang w:val="en"/>
        </w:rPr>
        <w:t>S4 doesn't address NIS2's 24h/72h incident notification timelines</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M7. Registry Scope Narrower Than Framework Scope</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ISMS-REF-A.5.23 Title and Section 1</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Incomplete supplier reference data, potential gaps for non-cloud suppliers</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ISMS-REF-A.5.23 is titled "Cloud Service Provider Reference Registry" and scoped to A.5.23, but the framework covers A.5.19-23 including traditional suppliers (managed service providers, professional services, hardware vendors, facilities providers).</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M8. Missing Cross-Reference to Registry from Main Framework</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Master Index Section 11.1, S6 Section 3.1</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Assessment workbook users may not know authoritative source for provider data</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Neither the Master Index nor S6 references ISMS-REF-A.5.23, despite S6 describing pre-population of assessment workbooks with provider lists.</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M9. Assessment Frequency Misalignment Between Registry and S4</w:t>
      </w:r>
    </w:p>
    <w:p w:rsidR="00A7323F" w:rsidRDefault="00A7323F">
      <w:pPr>
        <w:pStyle w:val="content-paragraph"/>
        <w:rPr>
          <w:rFonts w:ascii="Arial" w:hAnsi="Arial" w:cs="Arial"/>
          <w:color w:val="333333"/>
          <w:lang w:val="en"/>
        </w:rPr>
      </w:pPr>
      <w:r>
        <w:rPr>
          <w:rStyle w:val="Strong"/>
          <w:rFonts w:ascii="Arial" w:hAnsi="Arial" w:cs="Arial"/>
          <w:color w:val="333333"/>
          <w:lang w:val="en"/>
        </w:rPr>
        <w:t>Severity:</w:t>
      </w:r>
      <w:r>
        <w:rPr>
          <w:rFonts w:ascii="Arial" w:hAnsi="Arial" w:cs="Arial"/>
          <w:color w:val="333333"/>
          <w:lang w:val="en"/>
        </w:rPr>
        <w:t xml:space="preserve"> Moderate</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ISMS-REF-A.5.23 Section 2.2, ISMS-POL-A.5.19-23-S4 Section 3.1</w:t>
      </w:r>
    </w:p>
    <w:p w:rsidR="00A7323F" w:rsidRDefault="00A7323F">
      <w:pPr>
        <w:pStyle w:val="content-paragraph"/>
        <w:rPr>
          <w:rFonts w:ascii="Arial" w:hAnsi="Arial" w:cs="Arial"/>
          <w:color w:val="333333"/>
          <w:lang w:val="en"/>
        </w:rPr>
      </w:pPr>
      <w:r>
        <w:rPr>
          <w:rStyle w:val="Strong"/>
          <w:rFonts w:ascii="Arial" w:hAnsi="Arial" w:cs="Arial"/>
          <w:color w:val="333333"/>
          <w:lang w:val="en"/>
        </w:rPr>
        <w:t>Impact:</w:t>
      </w:r>
      <w:r>
        <w:rPr>
          <w:rFonts w:ascii="Arial" w:hAnsi="Arial" w:cs="Arial"/>
          <w:color w:val="333333"/>
          <w:lang w:val="en"/>
        </w:rPr>
        <w:t xml:space="preserve"> Confusion about actual assessment requirements</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The registry specifies assessment frequencies by tier (Tier 1-2: Quarterly, Tier 3-5: Semi-Annual, etc.), while S4 specifies different frequencies by supplier level (Level 1: Annual security review). These frameworks don't align and could cause confusion about actual requirements.</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Minor Observations (Consider Fixing)</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m1. Closing Quote Formatting Error in S4</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ISMS-POL-A.5.19-23-S4, end of document</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w:t>
      </w:r>
      <w:r>
        <w:rPr>
          <w:rFonts w:ascii="Arial" w:hAnsi="Arial" w:cs="Arial"/>
          <w:color w:val="333333"/>
          <w:lang w:val="en"/>
        </w:rPr>
        <w:t>Missing closing quotation mark: `"Monitoring without action is just expensive watching.`</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m2. Informal Tone in S6</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ISMS-POL-A.5.19-23-S6 throughout</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w:t>
      </w:r>
      <w:r>
        <w:rPr>
          <w:rFonts w:ascii="Arial" w:hAnsi="Arial" w:cs="Arial"/>
          <w:color w:val="333333"/>
          <w:lang w:val="en"/>
        </w:rPr>
        <w:t>S6 uses notably informal tone (emojis, "Feynman would approve," "cargo cult") compared to other sections.</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m3. Missing Explicit Exit Plan Testing Frequency in S5</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ISMS-POL-A.5.19-23-S5 Section 8.1</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Master Index Appendix A.3 states "Testing exit plans annually" but S5's Exit Strategy section doesn't specify testing frequency.</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m4. Evidence Register Relationship Unclear in S6</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ISMS-POL-A.5.19-23-S6 Section 2.2</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Evidence Register sheet purpose not clearly distinguished from assessment sheet evidence column (Column I).</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m5. Incorrect Control Reference in Registry</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ISMS-REF-A.5.23 Section 3.3, ISMS Relevance column</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Cloudflare and Akamai entries reference "A.8.23" (Web filtering). While potentially relevant, primary relevance for CDN providers is network security (A.8.20, A.8.21), not web filtering.</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m6. Proton Services Naming Outdated</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ISMS-REF-A.5.23 Section 3.10</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Listed as "Proton (ProtonMail/Drive)" but company rebranded to "Proton" with services "Proton Mail," "Proton Drive," "Proton VPN," "Proton Pass."</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m7. Swiss/EU Regulatory Advantage Not Linked to Master Index</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ISMS-REF-A.5.23 Section 3.10</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Assessment Notes mention "No US CLOUD Act exposure" but don't connect to Master Index Section 11.3 jurisdictional risk framework.</w:t>
      </w:r>
    </w:p>
    <w:p w:rsidR="00A7323F" w:rsidRDefault="00A7323F">
      <w:pPr>
        <w:pStyle w:val="Heading4"/>
        <w:rPr>
          <w:rFonts w:ascii="Arial" w:eastAsia="Times New Roman" w:hAnsi="Arial" w:cs="Arial"/>
          <w:color w:val="333333"/>
          <w:lang w:val="en"/>
        </w:rPr>
      </w:pPr>
      <w:r>
        <w:rPr>
          <w:rFonts w:ascii="Arial" w:eastAsia="Times New Roman" w:hAnsi="Arial" w:cs="Arial"/>
          <w:color w:val="333333"/>
          <w:lang w:val="en"/>
        </w:rPr>
        <w:t>m8. Registry Tier/S1 Level Mapping Absent</w:t>
      </w:r>
    </w:p>
    <w:p w:rsidR="00A7323F" w:rsidRDefault="00A7323F">
      <w:pPr>
        <w:pStyle w:val="content-paragraph"/>
        <w:rPr>
          <w:rFonts w:ascii="Arial" w:hAnsi="Arial" w:cs="Arial"/>
          <w:color w:val="333333"/>
          <w:lang w:val="en"/>
        </w:rPr>
      </w:pPr>
      <w:r>
        <w:rPr>
          <w:rStyle w:val="Strong"/>
          <w:rFonts w:ascii="Arial" w:hAnsi="Arial" w:cs="Arial"/>
          <w:color w:val="333333"/>
          <w:lang w:val="en"/>
        </w:rPr>
        <w:t>Location:</w:t>
      </w:r>
      <w:r>
        <w:rPr>
          <w:rFonts w:ascii="Arial" w:hAnsi="Arial" w:cs="Arial"/>
          <w:color w:val="333333"/>
          <w:lang w:val="en"/>
        </w:rPr>
        <w:t xml:space="preserve"> ISMS-REF-A.5.23 Section 2.2</w:t>
      </w:r>
    </w:p>
    <w:p w:rsidR="00A7323F" w:rsidRDefault="00A7323F">
      <w:pPr>
        <w:pStyle w:val="content-paragraph"/>
        <w:rPr>
          <w:rFonts w:ascii="Arial" w:hAnsi="Arial" w:cs="Arial"/>
          <w:color w:val="333333"/>
          <w:lang w:val="en"/>
        </w:rPr>
      </w:pPr>
      <w:r>
        <w:rPr>
          <w:rStyle w:val="Strong"/>
          <w:rFonts w:ascii="Arial" w:hAnsi="Arial" w:cs="Arial"/>
          <w:color w:val="333333"/>
          <w:lang w:val="en"/>
        </w:rPr>
        <w:t>Finding:</w:t>
      </w:r>
      <w:r>
        <w:rPr>
          <w:rFonts w:ascii="Arial" w:hAnsi="Arial" w:cs="Arial"/>
          <w:color w:val="333333"/>
          <w:lang w:val="en"/>
        </w:rPr>
        <w:t xml:space="preserve"> Registry uses 10-tier system while S1 uses 4-level classification. No mapping exists between these frameworks.</w:t>
      </w:r>
    </w:p>
    <w:p w:rsidR="00A7323F" w:rsidRDefault="00A7323F">
      <w:pPr>
        <w:pStyle w:val="Heading2"/>
        <w:pBdr>
          <w:bottom w:val="single" w:sz="12" w:space="8" w:color="ECF0F1"/>
        </w:pBdr>
        <w:spacing w:before="450" w:beforeAutospacing="0" w:after="225" w:afterAutospacing="0"/>
        <w:rPr>
          <w:rFonts w:ascii="Arial" w:eastAsia="Times New Roman" w:hAnsi="Arial" w:cs="Arial"/>
          <w:color w:val="34495E"/>
          <w:sz w:val="33"/>
          <w:szCs w:val="33"/>
          <w:lang w:val="en"/>
        </w:rPr>
      </w:pPr>
      <w:r>
        <w:rPr>
          <w:rFonts w:ascii="Arial" w:eastAsia="Times New Roman" w:hAnsi="Arial" w:cs="Arial"/>
          <w:color w:val="34495E"/>
          <w:sz w:val="33"/>
          <w:szCs w:val="33"/>
          <w:lang w:val="en"/>
        </w:rPr>
        <w:t>Positive Observations</w:t>
      </w:r>
    </w:p>
    <w:p w:rsidR="00A7323F" w:rsidRDefault="00A7323F">
      <w:pPr>
        <w:pStyle w:val="content-paragraph"/>
        <w:rPr>
          <w:rFonts w:ascii="Arial" w:hAnsi="Arial" w:cs="Arial"/>
          <w:color w:val="333333"/>
          <w:lang w:val="en"/>
        </w:rPr>
      </w:pPr>
      <w:r>
        <w:rPr>
          <w:rFonts w:ascii="Arial" w:hAnsi="Arial" w:cs="Arial"/>
          <w:color w:val="333333"/>
          <w:lang w:val="en"/>
        </w:rPr>
        <w:t>The following elements are framework strengths worth highlighting during the audit:</w:t>
      </w:r>
    </w:p>
    <w:tbl>
      <w:tblPr>
        <w:tblW w:w="5000" w:type="pct"/>
        <w:tblCellMar>
          <w:top w:w="15" w:type="dxa"/>
          <w:left w:w="15" w:type="dxa"/>
          <w:bottom w:w="15" w:type="dxa"/>
          <w:right w:w="15" w:type="dxa"/>
        </w:tblCellMar>
        <w:tblLook w:val="04A0" w:firstRow="1" w:lastRow="0" w:firstColumn="1" w:lastColumn="0" w:noHBand="0" w:noVBand="1"/>
      </w:tblPr>
      <w:tblGrid>
        <w:gridCol w:w="2813"/>
        <w:gridCol w:w="2340"/>
        <w:gridCol w:w="3857"/>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Strength</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Location</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Auditor Value</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Quantitative assessment methodology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S6 Section 1, Master Index Section 6</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Demonstrates effectiveness measurement beyond checkbox compliance</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Vendor-neutral policy design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Master Index Section 6.2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Shows policy stability independent of provider changes</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Exit planning as security control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8, Master Index Appendix A.3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Exceeds typical implementations, aligns with DORA requirements</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Fourth-party risk visibility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Addresses "supplier's supplier" problem explicitly</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SBOM requirements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S3 Section 5.3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Forward-looking software supply chain security</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Shared responsibility documentation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 Section 7</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Clear understanding of cloud security boundaries</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Classification matrix</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Section 3.3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Auditable, consistent supplier categorization</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Philosophy documentation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Master Index Appendix A</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Demonstrates security culture and reasoning</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Provider reference registry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Practical implementation support, consistent terminology</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Style w:val="Strong"/>
                <w:rFonts w:ascii="Arial" w:eastAsia="Times New Roman" w:hAnsi="Arial" w:cs="Arial"/>
                <w:color w:val="333333"/>
              </w:rPr>
              <w:t>Regulatory conditional logic</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Master Index Section 6.5, 11.3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Scalable approach to multi-regulatory environments</w:t>
            </w:r>
          </w:p>
        </w:tc>
      </w:tr>
    </w:tbl>
    <w:p w:rsidR="00A7323F" w:rsidRDefault="00A7323F">
      <w:pPr>
        <w:pStyle w:val="Heading2"/>
        <w:pBdr>
          <w:bottom w:val="single" w:sz="12" w:space="8" w:color="ECF0F1"/>
        </w:pBdr>
        <w:spacing w:before="450" w:beforeAutospacing="0" w:after="225" w:afterAutospacing="0"/>
        <w:rPr>
          <w:rFonts w:ascii="Arial" w:eastAsia="Times New Roman" w:hAnsi="Arial" w:cs="Arial"/>
          <w:color w:val="34495E"/>
          <w:sz w:val="33"/>
          <w:szCs w:val="33"/>
          <w:lang w:val="en"/>
        </w:rPr>
      </w:pPr>
      <w:r>
        <w:rPr>
          <w:rFonts w:ascii="Arial" w:eastAsia="Times New Roman" w:hAnsi="Arial" w:cs="Arial"/>
          <w:color w:val="34495E"/>
          <w:sz w:val="33"/>
          <w:szCs w:val="33"/>
          <w:lang w:val="en"/>
        </w:rPr>
        <w:t>Recommendations Summary</w:t>
      </w:r>
    </w:p>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Priority Actions (Before Stage 1)</w:t>
      </w:r>
    </w:p>
    <w:tbl>
      <w:tblPr>
        <w:tblW w:w="5000" w:type="pct"/>
        <w:tblCellMar>
          <w:top w:w="15" w:type="dxa"/>
          <w:left w:w="15" w:type="dxa"/>
          <w:bottom w:w="15" w:type="dxa"/>
          <w:right w:w="15" w:type="dxa"/>
        </w:tblCellMar>
        <w:tblLook w:val="04A0" w:firstRow="1" w:lastRow="0" w:firstColumn="1" w:lastColumn="0" w:noHBand="0" w:noVBand="1"/>
      </w:tblPr>
      <w:tblGrid>
        <w:gridCol w:w="634"/>
        <w:gridCol w:w="2739"/>
        <w:gridCol w:w="3481"/>
        <w:gridCol w:w="2156"/>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ID</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Issue</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Action</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Documents Affected</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Document ID inconsistency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Standardize on `ISMS-IMP-A.5.19-23.x`</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All</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S1/S5 classification linkage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Section 4.6 bridging statement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 review cycle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Change to "Annual or upon significant changes"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S6 sheet count error</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Correct Section 3.4 to "11 sheets"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Missing RACI matrix</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Section 5.4 accountability matrix</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Master Index</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M6</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Regulatory flow-through</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Section 11 to S1, S2, S3, S4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S1, S2, S3, S4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M7</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Registry scope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Expand scope or create companion document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Missing registry cross-reference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references to registry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Master Index, S6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M9</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Assessment frequency alignment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clarification and mapping table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w:t>
            </w:r>
          </w:p>
        </w:tc>
      </w:tr>
    </w:tbl>
    <w:p w:rsidR="00A7323F" w:rsidRDefault="00A7323F">
      <w:pPr>
        <w:pStyle w:val="Heading3"/>
        <w:spacing w:before="300" w:beforeAutospacing="0" w:after="150" w:afterAutospacing="0"/>
        <w:rPr>
          <w:rFonts w:ascii="Arial" w:eastAsia="Times New Roman" w:hAnsi="Arial" w:cs="Arial"/>
          <w:color w:val="2980B9"/>
          <w:lang w:val="en"/>
        </w:rPr>
      </w:pPr>
      <w:r>
        <w:rPr>
          <w:rFonts w:ascii="Arial" w:eastAsia="Times New Roman" w:hAnsi="Arial" w:cs="Arial"/>
          <w:color w:val="2980B9"/>
          <w:lang w:val="en"/>
        </w:rPr>
        <w:t>Suggested Improvements (Post Stage 1)</w:t>
      </w:r>
    </w:p>
    <w:tbl>
      <w:tblPr>
        <w:tblW w:w="5000" w:type="pct"/>
        <w:tblCellMar>
          <w:top w:w="15" w:type="dxa"/>
          <w:left w:w="15" w:type="dxa"/>
          <w:bottom w:w="15" w:type="dxa"/>
          <w:right w:w="15" w:type="dxa"/>
        </w:tblCellMar>
        <w:tblLook w:val="04A0" w:firstRow="1" w:lastRow="0" w:firstColumn="1" w:lastColumn="0" w:noHBand="0" w:noVBand="1"/>
      </w:tblPr>
      <w:tblGrid>
        <w:gridCol w:w="634"/>
        <w:gridCol w:w="2804"/>
        <w:gridCol w:w="3137"/>
        <w:gridCol w:w="2435"/>
      </w:tblGrid>
      <w:tr w:rsidR="0000000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ID</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Issue</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Action</w:t>
            </w:r>
          </w:p>
        </w:tc>
        <w:tc>
          <w:tcPr>
            <w:tcW w:w="0" w:type="auto"/>
            <w:tcBorders>
              <w:top w:val="single" w:sz="6" w:space="0" w:color="DDDDDD"/>
              <w:left w:val="single" w:sz="6" w:space="0" w:color="DDDDDD"/>
              <w:bottom w:val="single" w:sz="6" w:space="0" w:color="DDDDDD"/>
              <w:right w:val="single" w:sz="6" w:space="0" w:color="DDDDDD"/>
            </w:tcBorders>
            <w:shd w:val="clear" w:color="auto" w:fill="3498DB"/>
            <w:tcMar>
              <w:top w:w="180" w:type="dxa"/>
              <w:left w:w="180" w:type="dxa"/>
              <w:bottom w:w="180" w:type="dxa"/>
              <w:right w:w="180" w:type="dxa"/>
            </w:tcMar>
            <w:vAlign w:val="center"/>
            <w:hideMark/>
          </w:tcPr>
          <w:p w:rsidR="00A7323F" w:rsidRDefault="00A7323F">
            <w:pPr>
              <w:spacing w:after="300"/>
              <w:rPr>
                <w:rFonts w:ascii="Arial" w:eastAsia="Times New Roman" w:hAnsi="Arial" w:cs="Arial"/>
                <w:b/>
                <w:bCs/>
                <w:color w:val="FFFFFF"/>
              </w:rPr>
            </w:pPr>
            <w:r>
              <w:rPr>
                <w:rFonts w:ascii="Arial" w:eastAsia="Times New Roman" w:hAnsi="Arial" w:cs="Arial"/>
                <w:b/>
                <w:bCs/>
                <w:color w:val="FFFFFF"/>
              </w:rPr>
              <w:t>Documents Affected</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m1</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Quote formatting</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Fix closing quotation mark</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S4</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m2</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Informal tone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Consider normalizing (optional)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m3</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Exit testing frequency</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explicit annual requirement</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S5</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m4</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Evidence Register guidance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clarification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S6</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m5</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Control reference error</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Correct A.8.23 references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m6</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Proton naming</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Update to current branding</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m7</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Swiss/EU regulatory link</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Master Index reference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w:t>
            </w:r>
          </w:p>
        </w:tc>
      </w:tr>
      <w:tr w:rsidR="00000000">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m8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Tier/Level mapping</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Add mapping table</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rsidR="00A7323F" w:rsidRDefault="00A7323F">
            <w:pPr>
              <w:spacing w:after="300"/>
              <w:rPr>
                <w:rFonts w:ascii="Arial" w:eastAsia="Times New Roman" w:hAnsi="Arial" w:cs="Arial"/>
                <w:color w:val="333333"/>
              </w:rPr>
            </w:pPr>
            <w:r>
              <w:rPr>
                <w:rFonts w:ascii="Arial" w:eastAsia="Times New Roman" w:hAnsi="Arial" w:cs="Arial"/>
                <w:color w:val="333333"/>
              </w:rPr>
              <w:t>REF-A.5.23</w:t>
            </w:r>
          </w:p>
        </w:tc>
      </w:tr>
    </w:tbl>
    <w:p w:rsidR="00A7323F" w:rsidRDefault="00A7323F">
      <w:pPr>
        <w:pStyle w:val="Heading2"/>
        <w:pBdr>
          <w:bottom w:val="single" w:sz="12" w:space="8" w:color="ECF0F1"/>
        </w:pBdr>
        <w:spacing w:before="450" w:beforeAutospacing="0" w:after="225" w:afterAutospacing="0"/>
        <w:rPr>
          <w:rFonts w:ascii="Arial" w:eastAsia="Times New Roman" w:hAnsi="Arial" w:cs="Arial"/>
          <w:color w:val="34495E"/>
          <w:sz w:val="33"/>
          <w:szCs w:val="33"/>
          <w:lang w:val="en"/>
        </w:rPr>
      </w:pPr>
      <w:r>
        <w:rPr>
          <w:rFonts w:ascii="Arial" w:eastAsia="Times New Roman" w:hAnsi="Arial" w:cs="Arial"/>
          <w:color w:val="34495E"/>
          <w:sz w:val="33"/>
          <w:szCs w:val="33"/>
          <w:lang w:val="en"/>
        </w:rPr>
        <w:t>Conclusion</w:t>
      </w:r>
    </w:p>
    <w:p w:rsidR="00A7323F" w:rsidRDefault="00A7323F">
      <w:pPr>
        <w:pStyle w:val="content-paragraph"/>
        <w:rPr>
          <w:rFonts w:ascii="Arial" w:hAnsi="Arial" w:cs="Arial"/>
          <w:color w:val="333333"/>
          <w:lang w:val="en"/>
        </w:rPr>
      </w:pPr>
      <w:r>
        <w:rPr>
          <w:rFonts w:ascii="Arial" w:hAnsi="Arial" w:cs="Arial"/>
          <w:color w:val="333333"/>
          <w:lang w:val="en"/>
        </w:rPr>
        <w:t>The ISMS-POL-A.5.19-23 framework demonstrates comprehensive coverage of ISO 27001:2022 controls A.5.19 through A.5.23. The systems engineering approach, quantitative assessment methodology, and modular document architecture are genuine strengths that position the organization well for certification.</w:t>
      </w:r>
    </w:p>
    <w:p w:rsidR="00A7323F" w:rsidRDefault="00A7323F">
      <w:pPr>
        <w:pStyle w:val="content-paragraph"/>
        <w:rPr>
          <w:rFonts w:ascii="Arial" w:hAnsi="Arial" w:cs="Arial"/>
          <w:color w:val="333333"/>
          <w:lang w:val="en"/>
        </w:rPr>
      </w:pPr>
      <w:r>
        <w:rPr>
          <w:rFonts w:ascii="Arial" w:hAnsi="Arial" w:cs="Arial"/>
          <w:color w:val="333333"/>
          <w:lang w:val="en"/>
        </w:rPr>
        <w:t>The identified issues are consistency and cross-referencing concerns rather than substantive control gaps. Addressing the moderate issues before Stage 1 will create a more cohesive document set and reduce auditor questions about document relationships and naming conventions.</w:t>
      </w:r>
    </w:p>
    <w:p w:rsidR="00A7323F" w:rsidRDefault="00A7323F">
      <w:pPr>
        <w:pStyle w:val="content-paragraph"/>
        <w:rPr>
          <w:rFonts w:ascii="Arial" w:hAnsi="Arial" w:cs="Arial"/>
          <w:color w:val="333333"/>
          <w:lang w:val="en"/>
        </w:rPr>
      </w:pPr>
      <w:r>
        <w:rPr>
          <w:rStyle w:val="Strong"/>
          <w:rFonts w:ascii="Arial" w:hAnsi="Arial" w:cs="Arial"/>
          <w:color w:val="333333"/>
          <w:lang w:val="en"/>
        </w:rPr>
        <w:t>Recommendation:</w:t>
      </w:r>
      <w:r>
        <w:rPr>
          <w:rFonts w:ascii="Arial" w:hAnsi="Arial" w:cs="Arial"/>
          <w:color w:val="333333"/>
          <w:lang w:val="en"/>
        </w:rPr>
        <w:t xml:space="preserve"> </w:t>
      </w:r>
      <w:r>
        <w:rPr>
          <w:rFonts w:ascii="Arial" w:hAnsi="Arial" w:cs="Arial"/>
          <w:color w:val="333333"/>
          <w:lang w:val="en"/>
        </w:rPr>
        <w:t>Proceed with Stage 1 preparation while addressing moderate issues. The framework is substantively complete and demonstrates appropriate governance for supplier and cloud services security.</w:t>
      </w: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138FF"/>
    <w:multiLevelType w:val="multilevel"/>
    <w:tmpl w:val="C12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323F"/>
    <w:rsid w:val="007A4DF8"/>
    <w:rsid w:val="00A73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7FE57A-DDDB-40BB-AD26-3EB736B60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document-title">
    <w:name w:val="document-title"/>
    <w:basedOn w:val="Normal"/>
    <w:pPr>
      <w:spacing w:before="100" w:beforeAutospacing="1" w:after="450"/>
      <w:jc w:val="center"/>
    </w:pPr>
    <w:rPr>
      <w:b/>
      <w:bCs/>
      <w:color w:val="2C3E50"/>
      <w:sz w:val="42"/>
      <w:szCs w:val="42"/>
    </w:rPr>
  </w:style>
  <w:style w:type="paragraph" w:customStyle="1" w:styleId="section-heading">
    <w:name w:val="section-heading"/>
    <w:basedOn w:val="Normal"/>
    <w:pPr>
      <w:pBdr>
        <w:bottom w:val="single" w:sz="12" w:space="8" w:color="ECF0F1"/>
      </w:pBdr>
      <w:spacing w:before="450" w:after="225"/>
    </w:pPr>
    <w:rPr>
      <w:b/>
      <w:bCs/>
      <w:color w:val="34495E"/>
      <w:sz w:val="33"/>
      <w:szCs w:val="33"/>
    </w:rPr>
  </w:style>
  <w:style w:type="paragraph" w:customStyle="1" w:styleId="subsection-heading">
    <w:name w:val="subsection-heading"/>
    <w:basedOn w:val="Normal"/>
    <w:pPr>
      <w:spacing w:before="300" w:after="150"/>
    </w:pPr>
    <w:rPr>
      <w:b/>
      <w:bCs/>
      <w:color w:val="2980B9"/>
      <w:sz w:val="27"/>
      <w:szCs w:val="27"/>
    </w:rPr>
  </w:style>
  <w:style w:type="paragraph" w:customStyle="1" w:styleId="content-paragraph">
    <w:name w:val="content-paragraph"/>
    <w:basedOn w:val="Normal"/>
    <w:pPr>
      <w:spacing w:before="100" w:beforeAutospacing="1" w:after="225"/>
      <w:jc w:val="both"/>
    </w:pPr>
  </w:style>
  <w:style w:type="paragraph" w:customStyle="1" w:styleId="bullet-list">
    <w:name w:val="bullet-list"/>
    <w:basedOn w:val="Normal"/>
    <w:pPr>
      <w:spacing w:before="100" w:beforeAutospacing="1" w:after="225"/>
    </w:pPr>
  </w:style>
  <w:style w:type="paragraph" w:customStyle="1" w:styleId="numbered-list">
    <w:name w:val="numbered-list"/>
    <w:basedOn w:val="Normal"/>
    <w:pPr>
      <w:spacing w:before="100" w:beforeAutospacing="1" w:after="225"/>
    </w:pPr>
  </w:style>
  <w:style w:type="paragraph" w:customStyle="1" w:styleId="table-content">
    <w:name w:val="table-content"/>
    <w:basedOn w:val="Normal"/>
    <w:pPr>
      <w:spacing w:before="100" w:beforeAutospacing="1" w:after="30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1897</Words>
  <Characters>10817</Characters>
  <Application>Microsoft Office Word</Application>
  <DocSecurity>4</DocSecurity>
  <Lines>90</Lines>
  <Paragraphs>25</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ISMS-POL-A.5.19-23 Framework — Stage 1 Control Review Report</dc:title>
  <dc:subject/>
  <dc:creator>CARA-USER</dc:creator>
  <cp:keywords/>
  <dc:description/>
  <cp:lastModifiedBy>CARA-USER</cp:lastModifiedBy>
  <cp:revision>2</cp:revision>
  <dcterms:created xsi:type="dcterms:W3CDTF">2026-01-16T14:12:00Z</dcterms:created>
  <dcterms:modified xsi:type="dcterms:W3CDTF">2026-01-16T14:12:00Z</dcterms:modified>
</cp:coreProperties>
</file>