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1115E6" w:rsidRDefault="001115E6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53"/>
          <w:szCs w:val="53"/>
          <w:lang w:val="en"/>
        </w:rPr>
      </w:pPr>
      <w:r>
        <w:rPr>
          <w:rFonts w:ascii="Arial" w:eastAsia="Times New Roman" w:hAnsi="Arial" w:cs="Arial"/>
          <w:color w:val="2C3E50"/>
          <w:sz w:val="53"/>
          <w:szCs w:val="53"/>
          <w:lang w:val="en"/>
        </w:rPr>
        <w:t>Evidence Section for Policy Documents</w:t>
      </w:r>
    </w:p>
    <w:p w:rsidR="001115E6" w:rsidRDefault="001115E6">
      <w:pPr>
        <w:pStyle w:val="Heading2"/>
        <w:pBdr>
          <w:bottom w:val="single" w:sz="12" w:space="8" w:color="3498DB"/>
        </w:pBdr>
        <w:spacing w:before="375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Evidence for This Policy</w:t>
      </w:r>
    </w:p>
    <w:p w:rsidR="001115E6" w:rsidRDefault="001115E6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Stage 1 (Documentation Review) Evidence</w:t>
      </w:r>
    </w:p>
    <w:p w:rsidR="001115E6" w:rsidRDefault="001115E6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Evidence required to demonstrate this policy is adequately documented and approved: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This policy document (ISMS-POL-A.5.8 v1.0)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Approval signatures from CISO, Executive Management, relevant stakeholders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Project classification framework defined (Section 2.2)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Security activities by phase documented (Section 2.3)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Security requirements categories specified (Section 2.4)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Roles and responsibilities assigned (Section 3)</w:t>
      </w:r>
    </w:p>
    <w:p w:rsidR="001115E6" w:rsidRDefault="001115E6">
      <w:pPr>
        <w:numPr>
          <w:ilvl w:val="0"/>
          <w:numId w:val="1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Governance and escalation procedures defined (Section 4)</w:t>
      </w:r>
    </w:p>
    <w:p w:rsidR="001115E6" w:rsidRDefault="001115E6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Stage 2 (Operational Effectiveness) Evidence</w:t>
      </w:r>
    </w:p>
    <w:p w:rsidR="001115E6" w:rsidRDefault="001115E6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Evidence required to demonstrate this policy is operationally effective: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Project security assessments completed per ISMS-IMP-A.5.8 (sample of High/Medium/Low projects)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Project classification determinations with approval signatures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Security risk registers for active projects (at appropriate phase gates)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Security requirements registers for Medium/High Risk projects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Security test results and remediation evidence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Phase gate review records showing security approvals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Residual risk acceptance documentation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Security handover documentation for completed projects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Lessons learned reports with security sections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Project security metrics dashboard (quarterly/annual reports)</w:t>
      </w:r>
    </w:p>
    <w:p w:rsidR="001115E6" w:rsidRDefault="001115E6">
      <w:pPr>
        <w:numPr>
          <w:ilvl w:val="0"/>
          <w:numId w:val="2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Security exception register (if exceptions granted)</w:t>
      </w:r>
    </w:p>
    <w:p w:rsidR="001115E6" w:rsidRDefault="001115E6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Clarification on Compliance Evidence</w:t>
      </w:r>
    </w:p>
    <w:p w:rsidR="001115E6" w:rsidRDefault="001115E6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lastRenderedPageBreak/>
        <w:t>This policy establishes project security requirements (HOW security is integrated into projects). It does NOT establish:</w:t>
      </w:r>
    </w:p>
    <w:p w:rsidR="001115E6" w:rsidRDefault="001115E6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Project-specific security controls</w:t>
      </w:r>
      <w:r>
        <w:rPr>
          <w:rFonts w:ascii="Arial" w:eastAsia="Times New Roman" w:hAnsi="Arial" w:cs="Arial"/>
          <w:color w:val="333333"/>
          <w:lang w:val="en"/>
        </w:rPr>
        <w:t xml:space="preserve"> (determined by individual project risk assessments and requirements)</w:t>
      </w:r>
    </w:p>
    <w:p w:rsidR="001115E6" w:rsidRDefault="001115E6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General security controls</w:t>
      </w:r>
      <w:r>
        <w:rPr>
          <w:rFonts w:ascii="Arial" w:eastAsia="Times New Roman" w:hAnsi="Arial" w:cs="Arial"/>
          <w:color w:val="333333"/>
          <w:lang w:val="en"/>
        </w:rPr>
        <w:t xml:space="preserve"> (addressed in Annex A control-specific policies like A.8.24, A.5.15-18, etc.)</w:t>
      </w:r>
    </w:p>
    <w:p w:rsidR="001115E6" w:rsidRDefault="001115E6">
      <w:pPr>
        <w:numPr>
          <w:ilvl w:val="0"/>
          <w:numId w:val="3"/>
        </w:numPr>
        <w:spacing w:before="100" w:beforeAutospacing="1" w:after="120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Project management methodology</w:t>
      </w:r>
      <w:r>
        <w:rPr>
          <w:rFonts w:ascii="Arial" w:eastAsia="Times New Roman" w:hAnsi="Arial" w:cs="Arial"/>
          <w:color w:val="333333"/>
          <w:lang w:val="en"/>
        </w:rPr>
        <w:t xml:space="preserve"> (organizational project governance, separate from ISMS)</w:t>
      </w:r>
    </w:p>
    <w:p w:rsidR="001115E6" w:rsidRDefault="001115E6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The boundary is:</w:t>
      </w:r>
      <w:r>
        <w:rPr>
          <w:rFonts w:ascii="Arial" w:hAnsi="Arial" w:cs="Arial"/>
          <w:color w:val="333333"/>
          <w:lang w:val="en"/>
        </w:rPr>
        <w:t xml:space="preserve"> POL-A.5.8 defines security integration requirements → Projects implement security per their risk classification → Project assessments verify integration → Control-specific policies define technical requirements.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48B"/>
    <w:multiLevelType w:val="multilevel"/>
    <w:tmpl w:val="D7A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1847"/>
    <w:multiLevelType w:val="multilevel"/>
    <w:tmpl w:val="37D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47943"/>
    <w:multiLevelType w:val="multilevel"/>
    <w:tmpl w:val="B4C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0505">
    <w:abstractNumId w:val="0"/>
  </w:num>
  <w:num w:numId="2" w16cid:durableId="1678537489">
    <w:abstractNumId w:val="1"/>
  </w:num>
  <w:num w:numId="3" w16cid:durableId="586813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E6"/>
    <w:rsid w:val="001115E6"/>
    <w:rsid w:val="001C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799BB-E892-41C0-A728-2F87D4CE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53"/>
      <w:szCs w:val="53"/>
    </w:rPr>
  </w:style>
  <w:style w:type="paragraph" w:customStyle="1" w:styleId="section-heading">
    <w:name w:val="section-heading"/>
    <w:basedOn w:val="Normal"/>
    <w:pPr>
      <w:pBdr>
        <w:bottom w:val="single" w:sz="12" w:space="8" w:color="3498DB"/>
      </w:pBdr>
      <w:spacing w:before="375" w:after="100" w:afterAutospacing="1"/>
    </w:pPr>
    <w:rPr>
      <w:color w:val="3498DB"/>
      <w:sz w:val="43"/>
      <w:szCs w:val="43"/>
    </w:rPr>
  </w:style>
  <w:style w:type="paragraph" w:customStyle="1" w:styleId="sub-section-heading">
    <w:name w:val="sub-section-heading"/>
    <w:basedOn w:val="Normal"/>
    <w:pPr>
      <w:spacing w:before="300" w:after="100" w:afterAutospacing="1"/>
    </w:pPr>
    <w:rPr>
      <w:color w:val="2C3E50"/>
      <w:sz w:val="36"/>
      <w:szCs w:val="36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300"/>
      <w:ind w:left="300"/>
    </w:pPr>
  </w:style>
  <w:style w:type="paragraph" w:customStyle="1" w:styleId="numbered-list">
    <w:name w:val="numbered-list"/>
    <w:basedOn w:val="Normal"/>
    <w:pPr>
      <w:spacing w:before="150" w:after="300"/>
      <w:ind w:left="300"/>
    </w:pPr>
  </w:style>
  <w:style w:type="paragraph" w:customStyle="1" w:styleId="table-content">
    <w:name w:val="table-content"/>
    <w:basedOn w:val="Normal"/>
    <w:pPr>
      <w:spacing w:before="300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1734</Characters>
  <Application>Microsoft Office Word</Application>
  <DocSecurity>4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Section for Policy Documents</dc:title>
  <dc:subject/>
  <dc:creator>CARA-USER</dc:creator>
  <cp:keywords/>
  <dc:description/>
  <cp:lastModifiedBy>CARA-USER</cp:lastModifiedBy>
  <cp:revision>2</cp:revision>
  <dcterms:created xsi:type="dcterms:W3CDTF">2026-01-29T19:31:00Z</dcterms:created>
  <dcterms:modified xsi:type="dcterms:W3CDTF">2026-01-29T19:31:00Z</dcterms:modified>
</cp:coreProperties>
</file>