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56218" w:rsidRDefault="00356218">
      <w:pPr>
        <w:pStyle w:val="Heading1"/>
        <w:spacing w:after="300" w:afterAutospacing="0"/>
        <w:jc w:val="center"/>
        <w:rPr>
          <w:rFonts w:ascii="Arial" w:eastAsia="Times New Roman" w:hAnsi="Arial" w:cs="Arial"/>
          <w:color w:val="2C3E50"/>
          <w:sz w:val="42"/>
          <w:szCs w:val="42"/>
          <w:lang w:val="en"/>
        </w:rPr>
      </w:pPr>
      <w:r>
        <w:rPr>
          <w:rFonts w:ascii="Arial" w:eastAsia="Times New Roman" w:hAnsi="Arial" w:cs="Arial"/>
          <w:color w:val="2C3E50"/>
          <w:sz w:val="42"/>
          <w:szCs w:val="42"/>
          <w:lang w:val="en"/>
        </w:rPr>
        <w:t>ISMS Stage 1 Control Review Report</w:t>
      </w:r>
    </w:p>
    <w:p w:rsidR="00356218" w:rsidRDefault="00356218">
      <w:pPr>
        <w:pStyle w:val="Heading2"/>
        <w:pBdr>
          <w:bottom w:val="single" w:sz="6" w:space="8" w:color="DDDDDD"/>
        </w:pBdr>
        <w:spacing w:before="450" w:beforeAutospacing="0"/>
        <w:rPr>
          <w:rFonts w:ascii="Arial" w:eastAsia="Times New Roman" w:hAnsi="Arial" w:cs="Arial"/>
          <w:color w:val="3498DB"/>
          <w:sz w:val="33"/>
          <w:szCs w:val="33"/>
          <w:lang w:val="en"/>
        </w:rPr>
      </w:pPr>
      <w:r>
        <w:rPr>
          <w:rFonts w:ascii="Arial" w:eastAsia="Times New Roman" w:hAnsi="Arial" w:cs="Arial"/>
          <w:color w:val="3498DB"/>
          <w:sz w:val="33"/>
          <w:szCs w:val="33"/>
          <w:lang w:val="en"/>
        </w:rPr>
        <w:t>Executive Summary</w:t>
      </w:r>
    </w:p>
    <w:p w:rsidR="00356218" w:rsidRDefault="00356218">
      <w:pPr>
        <w:pStyle w:val="content-paragraph"/>
        <w:rPr>
          <w:rFonts w:ascii="Arial" w:hAnsi="Arial" w:cs="Arial"/>
          <w:color w:val="333333"/>
          <w:lang w:val="en"/>
        </w:rPr>
      </w:pPr>
      <w:r>
        <w:rPr>
          <w:rFonts w:ascii="Arial" w:hAnsi="Arial" w:cs="Arial"/>
          <w:color w:val="333333"/>
          <w:lang w:val="en"/>
        </w:rPr>
        <w:t>The policy is Stage 1 ready. It demonstrates comprehensive coverage of ISO 27001:2022 Control A.8.24 requirements, clear governance structure, and appropriate regulatory alignment for your Swiss context. No critical issues identified that would block Stage 1 progression.</w:t>
      </w:r>
    </w:p>
    <w:p w:rsidR="00356218" w:rsidRDefault="00356218">
      <w:pPr>
        <w:pStyle w:val="content-paragraph"/>
        <w:rPr>
          <w:rFonts w:ascii="Arial" w:hAnsi="Arial" w:cs="Arial"/>
          <w:color w:val="333333"/>
          <w:lang w:val="en"/>
        </w:rPr>
      </w:pPr>
      <w:r>
        <w:rPr>
          <w:rFonts w:ascii="Arial" w:hAnsi="Arial" w:cs="Arial"/>
          <w:color w:val="333333"/>
          <w:lang w:val="en"/>
        </w:rPr>
        <w:t>Two moderate issues warrant attention before Stage 2, and several minor observations could strengthen the document for long-term operational use.</w:t>
      </w:r>
    </w:p>
    <w:p w:rsidR="00356218" w:rsidRDefault="00356218">
      <w:pPr>
        <w:pStyle w:val="Heading2"/>
        <w:pBdr>
          <w:bottom w:val="single" w:sz="6" w:space="8" w:color="DDDDDD"/>
        </w:pBdr>
        <w:spacing w:before="450" w:beforeAutospacing="0"/>
        <w:rPr>
          <w:rFonts w:ascii="Arial" w:eastAsia="Times New Roman" w:hAnsi="Arial" w:cs="Arial"/>
          <w:color w:val="3498DB"/>
          <w:sz w:val="33"/>
          <w:szCs w:val="33"/>
          <w:lang w:val="en"/>
        </w:rPr>
      </w:pPr>
      <w:r>
        <w:rPr>
          <w:rFonts w:ascii="Arial" w:eastAsia="Times New Roman" w:hAnsi="Arial" w:cs="Arial"/>
          <w:color w:val="3498DB"/>
          <w:sz w:val="33"/>
          <w:szCs w:val="33"/>
          <w:lang w:val="en"/>
        </w:rPr>
        <w:t>Findings Summary</w:t>
      </w:r>
    </w:p>
    <w:tbl>
      <w:tblPr>
        <w:tblW w:w="5000" w:type="pct"/>
        <w:tblCellMar>
          <w:top w:w="15" w:type="dxa"/>
          <w:left w:w="15" w:type="dxa"/>
          <w:bottom w:w="15" w:type="dxa"/>
          <w:right w:w="15" w:type="dxa"/>
        </w:tblCellMar>
        <w:tblLook w:val="04A0" w:firstRow="1" w:lastRow="0" w:firstColumn="1" w:lastColumn="0" w:noHBand="0" w:noVBand="1"/>
      </w:tblPr>
      <w:tblGrid>
        <w:gridCol w:w="2283"/>
        <w:gridCol w:w="1700"/>
        <w:gridCol w:w="5027"/>
      </w:tblGrid>
      <w:tr w:rsidR="0000000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b/>
                <w:bCs/>
                <w:color w:val="2C3E50"/>
              </w:rPr>
            </w:pPr>
            <w:r>
              <w:rPr>
                <w:rFonts w:ascii="Arial" w:eastAsia="Times New Roman" w:hAnsi="Arial" w:cs="Arial"/>
                <w:b/>
                <w:bCs/>
                <w:color w:val="2C3E50"/>
              </w:rPr>
              <w:t>Severity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b/>
                <w:bCs/>
                <w:color w:val="2C3E50"/>
              </w:rPr>
            </w:pPr>
            <w:r>
              <w:rPr>
                <w:rFonts w:ascii="Arial" w:eastAsia="Times New Roman" w:hAnsi="Arial" w:cs="Arial"/>
                <w:b/>
                <w:bCs/>
                <w:color w:val="2C3E50"/>
              </w:rPr>
              <w:t>Count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b/>
                <w:bCs/>
                <w:color w:val="2C3E50"/>
              </w:rPr>
            </w:pPr>
            <w:r>
              <w:rPr>
                <w:rFonts w:ascii="Arial" w:eastAsia="Times New Roman" w:hAnsi="Arial" w:cs="Arial"/>
                <w:b/>
                <w:bCs/>
                <w:color w:val="2C3E50"/>
              </w:rPr>
              <w:t>Action Required</w:t>
            </w:r>
          </w:p>
        </w:tc>
      </w:tr>
      <w:tr w:rsidR="0000000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Critical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w:t>
            </w:r>
          </w:p>
        </w:tc>
      </w:tr>
      <w:tr w:rsidR="0000000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Moderate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Address before Stage 2</w:t>
            </w:r>
          </w:p>
        </w:tc>
      </w:tr>
      <w:tr w:rsidR="0000000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Minor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Consider addressing</w:t>
            </w:r>
          </w:p>
        </w:tc>
      </w:tr>
    </w:tbl>
    <w:p w:rsidR="00356218" w:rsidRDefault="00356218">
      <w:pPr>
        <w:pStyle w:val="Heading2"/>
        <w:pBdr>
          <w:bottom w:val="single" w:sz="6" w:space="8" w:color="DDDDDD"/>
        </w:pBdr>
        <w:spacing w:before="450" w:beforeAutospacing="0"/>
        <w:rPr>
          <w:rFonts w:ascii="Arial" w:eastAsia="Times New Roman" w:hAnsi="Arial" w:cs="Arial"/>
          <w:color w:val="3498DB"/>
          <w:sz w:val="33"/>
          <w:szCs w:val="33"/>
          <w:lang w:val="en"/>
        </w:rPr>
      </w:pPr>
      <w:r>
        <w:rPr>
          <w:rFonts w:ascii="Arial" w:eastAsia="Times New Roman" w:hAnsi="Arial" w:cs="Arial"/>
          <w:color w:val="3498DB"/>
          <w:sz w:val="33"/>
          <w:szCs w:val="33"/>
          <w:lang w:val="en"/>
        </w:rPr>
        <w:t>Critical Issues</w:t>
      </w:r>
    </w:p>
    <w:p w:rsidR="00356218" w:rsidRDefault="00356218">
      <w:pPr>
        <w:pStyle w:val="content-paragraph"/>
        <w:rPr>
          <w:rFonts w:ascii="Arial" w:hAnsi="Arial" w:cs="Arial"/>
          <w:color w:val="333333"/>
          <w:lang w:val="en"/>
        </w:rPr>
      </w:pPr>
      <w:r>
        <w:rPr>
          <w:rFonts w:ascii="Arial" w:hAnsi="Arial" w:cs="Arial"/>
          <w:color w:val="333333"/>
          <w:lang w:val="en"/>
        </w:rPr>
        <w:t>None identified. The policy meets ISO 27001:2022 requirements for Control A.8.24 documentation.</w:t>
      </w:r>
    </w:p>
    <w:p w:rsidR="00356218" w:rsidRDefault="00356218">
      <w:pPr>
        <w:pStyle w:val="Heading2"/>
        <w:pBdr>
          <w:bottom w:val="single" w:sz="6" w:space="8" w:color="DDDDDD"/>
        </w:pBdr>
        <w:spacing w:before="450" w:beforeAutospacing="0"/>
        <w:rPr>
          <w:rFonts w:ascii="Arial" w:eastAsia="Times New Roman" w:hAnsi="Arial" w:cs="Arial"/>
          <w:color w:val="3498DB"/>
          <w:sz w:val="33"/>
          <w:szCs w:val="33"/>
          <w:lang w:val="en"/>
        </w:rPr>
      </w:pPr>
      <w:r>
        <w:rPr>
          <w:rFonts w:ascii="Arial" w:eastAsia="Times New Roman" w:hAnsi="Arial" w:cs="Arial"/>
          <w:color w:val="3498DB"/>
          <w:sz w:val="33"/>
          <w:szCs w:val="33"/>
          <w:lang w:val="en"/>
        </w:rPr>
        <w:t>Moderate Issues</w:t>
      </w:r>
    </w:p>
    <w:p w:rsidR="00356218" w:rsidRDefault="00356218">
      <w:pPr>
        <w:pStyle w:val="Heading3"/>
        <w:rPr>
          <w:rFonts w:ascii="Arial" w:eastAsia="Times New Roman" w:hAnsi="Arial" w:cs="Arial"/>
          <w:color w:val="333333"/>
          <w:lang w:val="en"/>
        </w:rPr>
      </w:pPr>
      <w:r>
        <w:rPr>
          <w:rFonts w:ascii="Arial" w:eastAsia="Times New Roman" w:hAnsi="Arial" w:cs="Arial"/>
          <w:color w:val="333333"/>
          <w:lang w:val="en"/>
        </w:rPr>
        <w:t>M1. Certificate Validity Statement Conflates Public and Private Certificates</w:t>
      </w:r>
    </w:p>
    <w:p w:rsidR="00356218" w:rsidRDefault="00356218">
      <w:pPr>
        <w:pStyle w:val="content-paragraph"/>
        <w:rPr>
          <w:rFonts w:ascii="Arial" w:hAnsi="Arial" w:cs="Arial"/>
          <w:color w:val="333333"/>
          <w:lang w:val="en"/>
        </w:rPr>
      </w:pPr>
      <w:r>
        <w:rPr>
          <w:rStyle w:val="Strong"/>
          <w:rFonts w:ascii="Arial" w:hAnsi="Arial" w:cs="Arial"/>
          <w:color w:val="333333"/>
          <w:lang w:val="en"/>
        </w:rPr>
        <w:t>Location:</w:t>
      </w:r>
      <w:r>
        <w:rPr>
          <w:rFonts w:ascii="Arial" w:hAnsi="Arial" w:cs="Arial"/>
          <w:color w:val="333333"/>
          <w:lang w:val="en"/>
        </w:rPr>
        <w:t xml:space="preserve"> Section 2.4</w:t>
      </w:r>
    </w:p>
    <w:p w:rsidR="00356218" w:rsidRDefault="00356218">
      <w:pPr>
        <w:pStyle w:val="content-paragraph"/>
        <w:rPr>
          <w:rFonts w:ascii="Arial" w:hAnsi="Arial" w:cs="Arial"/>
          <w:color w:val="333333"/>
          <w:lang w:val="en"/>
        </w:rPr>
      </w:pPr>
      <w:r>
        <w:rPr>
          <w:rStyle w:val="Strong"/>
          <w:rFonts w:ascii="Arial" w:hAnsi="Arial" w:cs="Arial"/>
          <w:color w:val="333333"/>
          <w:lang w:val="en"/>
        </w:rPr>
        <w:lastRenderedPageBreak/>
        <w:t>Issue:</w:t>
      </w:r>
      <w:r>
        <w:rPr>
          <w:rFonts w:ascii="Arial" w:hAnsi="Arial" w:cs="Arial"/>
          <w:color w:val="333333"/>
          <w:lang w:val="en"/>
        </w:rPr>
        <w:t xml:space="preserve"> The statement "Certificate validity periods comply with CA/Browser Forum baseline requirements for public certificates" implies all certificates follow CA/Browser Forum rules. Private/internal certificates are not bound by these requirements, and applying public certificate lifetimes (currently 398 days, moving toward 90 days) to internal PKI may be operationally impractical or unnecessary.</w:t>
      </w:r>
    </w:p>
    <w:p w:rsidR="00356218" w:rsidRDefault="00356218">
      <w:pPr>
        <w:pStyle w:val="content-paragraph"/>
        <w:rPr>
          <w:rFonts w:ascii="Arial" w:hAnsi="Arial" w:cs="Arial"/>
          <w:color w:val="333333"/>
          <w:lang w:val="en"/>
        </w:rPr>
      </w:pPr>
      <w:r>
        <w:rPr>
          <w:rStyle w:val="Strong"/>
          <w:rFonts w:ascii="Arial" w:hAnsi="Arial" w:cs="Arial"/>
          <w:color w:val="333333"/>
          <w:lang w:val="en"/>
        </w:rPr>
        <w:t>Risk:</w:t>
      </w:r>
      <w:r>
        <w:rPr>
          <w:rFonts w:ascii="Arial" w:hAnsi="Arial" w:cs="Arial"/>
          <w:color w:val="333333"/>
          <w:lang w:val="en"/>
        </w:rPr>
        <w:t xml:space="preserve"> Auditor may question whether the organization understands the distinction, or operational teams may misapply requirements.</w:t>
      </w:r>
    </w:p>
    <w:p w:rsidR="00356218" w:rsidRDefault="00356218">
      <w:pPr>
        <w:pStyle w:val="Heading3"/>
        <w:rPr>
          <w:rFonts w:ascii="Arial" w:eastAsia="Times New Roman" w:hAnsi="Arial" w:cs="Arial"/>
          <w:color w:val="333333"/>
          <w:lang w:val="en"/>
        </w:rPr>
      </w:pPr>
      <w:r>
        <w:rPr>
          <w:rFonts w:ascii="Arial" w:eastAsia="Times New Roman" w:hAnsi="Arial" w:cs="Arial"/>
          <w:color w:val="333333"/>
          <w:lang w:val="en"/>
        </w:rPr>
        <w:t>M2. Cryptographic Incident Severity Criteria Not Defined</w:t>
      </w:r>
    </w:p>
    <w:p w:rsidR="00356218" w:rsidRDefault="00356218">
      <w:pPr>
        <w:pStyle w:val="content-paragraph"/>
        <w:rPr>
          <w:rFonts w:ascii="Arial" w:hAnsi="Arial" w:cs="Arial"/>
          <w:color w:val="333333"/>
          <w:lang w:val="en"/>
        </w:rPr>
      </w:pPr>
      <w:r>
        <w:rPr>
          <w:rStyle w:val="Strong"/>
          <w:rFonts w:ascii="Arial" w:hAnsi="Arial" w:cs="Arial"/>
          <w:color w:val="333333"/>
          <w:lang w:val="en"/>
        </w:rPr>
        <w:t>Location:</w:t>
      </w:r>
      <w:r>
        <w:rPr>
          <w:rFonts w:ascii="Arial" w:hAnsi="Arial" w:cs="Arial"/>
          <w:color w:val="333333"/>
          <w:lang w:val="en"/>
        </w:rPr>
        <w:t xml:space="preserve"> Section 3.4</w:t>
      </w:r>
    </w:p>
    <w:p w:rsidR="00356218" w:rsidRDefault="00356218">
      <w:pPr>
        <w:pStyle w:val="content-paragraph"/>
        <w:rPr>
          <w:rFonts w:ascii="Arial" w:hAnsi="Arial" w:cs="Arial"/>
          <w:color w:val="333333"/>
          <w:lang w:val="en"/>
        </w:rPr>
      </w:pPr>
      <w:r>
        <w:rPr>
          <w:rStyle w:val="Strong"/>
          <w:rFonts w:ascii="Arial" w:hAnsi="Arial" w:cs="Arial"/>
          <w:color w:val="333333"/>
          <w:lang w:val="en"/>
        </w:rPr>
        <w:t>Issue:</w:t>
      </w:r>
      <w:r>
        <w:rPr>
          <w:rFonts w:ascii="Arial" w:hAnsi="Arial" w:cs="Arial"/>
          <w:color w:val="333333"/>
          <w:lang w:val="en"/>
        </w:rPr>
        <w:t xml:space="preserve"> The policy references severity-based response timelines ("4 hours to 72 hours") but doesn't define what constitutes Critical, High, Medium, or Low severity for cryptographic incidents. While you note detailed procedures are in ISMS-IMP-A.8.24, the policy should establish the classification framework or explicitly state criteria are defined elsewhere.</w:t>
      </w:r>
    </w:p>
    <w:p w:rsidR="00356218" w:rsidRDefault="00356218">
      <w:pPr>
        <w:pStyle w:val="content-paragraph"/>
        <w:rPr>
          <w:rFonts w:ascii="Arial" w:hAnsi="Arial" w:cs="Arial"/>
          <w:color w:val="333333"/>
          <w:lang w:val="en"/>
        </w:rPr>
      </w:pPr>
      <w:r>
        <w:rPr>
          <w:rStyle w:val="Strong"/>
          <w:rFonts w:ascii="Arial" w:hAnsi="Arial" w:cs="Arial"/>
          <w:color w:val="333333"/>
          <w:lang w:val="en"/>
        </w:rPr>
        <w:t>Risk:</w:t>
      </w:r>
      <w:r>
        <w:rPr>
          <w:rFonts w:ascii="Arial" w:hAnsi="Arial" w:cs="Arial"/>
          <w:color w:val="333333"/>
          <w:lang w:val="en"/>
        </w:rPr>
        <w:t xml:space="preserve"> Without clear criteria, incident responders may inconsistently classify events, leading to delayed response or audit questions about governance clarity.</w:t>
      </w:r>
    </w:p>
    <w:p w:rsidR="00356218" w:rsidRDefault="00356218">
      <w:pPr>
        <w:pStyle w:val="Heading2"/>
        <w:pBdr>
          <w:bottom w:val="single" w:sz="6" w:space="8" w:color="DDDDDD"/>
        </w:pBdr>
        <w:spacing w:before="450" w:beforeAutospacing="0"/>
        <w:rPr>
          <w:rFonts w:ascii="Arial" w:eastAsia="Times New Roman" w:hAnsi="Arial" w:cs="Arial"/>
          <w:color w:val="3498DB"/>
          <w:sz w:val="33"/>
          <w:szCs w:val="33"/>
          <w:lang w:val="en"/>
        </w:rPr>
      </w:pPr>
      <w:r>
        <w:rPr>
          <w:rFonts w:ascii="Arial" w:eastAsia="Times New Roman" w:hAnsi="Arial" w:cs="Arial"/>
          <w:color w:val="3498DB"/>
          <w:sz w:val="33"/>
          <w:szCs w:val="33"/>
          <w:lang w:val="en"/>
        </w:rPr>
        <w:t>Minor Observations</w:t>
      </w:r>
    </w:p>
    <w:p w:rsidR="00356218" w:rsidRDefault="00356218">
      <w:pPr>
        <w:pStyle w:val="Heading3"/>
        <w:rPr>
          <w:rFonts w:ascii="Arial" w:eastAsia="Times New Roman" w:hAnsi="Arial" w:cs="Arial"/>
          <w:color w:val="333333"/>
          <w:lang w:val="en"/>
        </w:rPr>
      </w:pPr>
      <w:r>
        <w:rPr>
          <w:rFonts w:ascii="Arial" w:eastAsia="Times New Roman" w:hAnsi="Arial" w:cs="Arial"/>
          <w:color w:val="333333"/>
          <w:lang w:val="en"/>
        </w:rPr>
        <w:t>N1. Third-Party Cryptographic Assurance Gap</w:t>
      </w:r>
    </w:p>
    <w:p w:rsidR="00356218" w:rsidRDefault="00356218">
      <w:pPr>
        <w:pStyle w:val="content-paragraph"/>
        <w:rPr>
          <w:rFonts w:ascii="Arial" w:hAnsi="Arial" w:cs="Arial"/>
          <w:color w:val="333333"/>
          <w:lang w:val="en"/>
        </w:rPr>
      </w:pPr>
      <w:r>
        <w:rPr>
          <w:rStyle w:val="Strong"/>
          <w:rFonts w:ascii="Arial" w:hAnsi="Arial" w:cs="Arial"/>
          <w:color w:val="333333"/>
          <w:lang w:val="en"/>
        </w:rPr>
        <w:t>Location:</w:t>
      </w:r>
      <w:r>
        <w:rPr>
          <w:rFonts w:ascii="Arial" w:hAnsi="Arial" w:cs="Arial"/>
          <w:color w:val="333333"/>
          <w:lang w:val="en"/>
        </w:rPr>
        <w:t xml:space="preserve"> Section 1.4 (Scope)</w:t>
      </w:r>
    </w:p>
    <w:p w:rsidR="00356218" w:rsidRDefault="00356218">
      <w:pPr>
        <w:pStyle w:val="content-paragraph"/>
        <w:rPr>
          <w:rFonts w:ascii="Arial" w:hAnsi="Arial" w:cs="Arial"/>
          <w:color w:val="333333"/>
          <w:lang w:val="en"/>
        </w:rPr>
      </w:pPr>
      <w:r>
        <w:rPr>
          <w:rStyle w:val="Strong"/>
          <w:rFonts w:ascii="Arial" w:hAnsi="Arial" w:cs="Arial"/>
          <w:color w:val="333333"/>
          <w:lang w:val="en"/>
        </w:rPr>
        <w:t>Observation:</w:t>
      </w:r>
      <w:r>
        <w:rPr>
          <w:rFonts w:ascii="Arial" w:hAnsi="Arial" w:cs="Arial"/>
          <w:color w:val="333333"/>
          <w:lang w:val="en"/>
        </w:rPr>
        <w:t xml:space="preserve"> The scope includes "All third-party services handling organizational data" but Section 2 doesn't specify how third-party cryptographic compliance is verified or what contractual requirements apply.</w:t>
      </w:r>
    </w:p>
    <w:p w:rsidR="00356218" w:rsidRDefault="00356218">
      <w:pPr>
        <w:pStyle w:val="Heading3"/>
        <w:rPr>
          <w:rFonts w:ascii="Arial" w:eastAsia="Times New Roman" w:hAnsi="Arial" w:cs="Arial"/>
          <w:color w:val="333333"/>
          <w:lang w:val="en"/>
        </w:rPr>
      </w:pPr>
      <w:r>
        <w:rPr>
          <w:rFonts w:ascii="Arial" w:eastAsia="Times New Roman" w:hAnsi="Arial" w:cs="Arial"/>
          <w:color w:val="333333"/>
          <w:lang w:val="en"/>
        </w:rPr>
        <w:t>N2. Backup Encryption Key Separation Not Addressed</w:t>
      </w:r>
    </w:p>
    <w:p w:rsidR="00356218" w:rsidRDefault="00356218">
      <w:pPr>
        <w:pStyle w:val="content-paragraph"/>
        <w:rPr>
          <w:rFonts w:ascii="Arial" w:hAnsi="Arial" w:cs="Arial"/>
          <w:color w:val="333333"/>
          <w:lang w:val="en"/>
        </w:rPr>
      </w:pPr>
      <w:r>
        <w:rPr>
          <w:rStyle w:val="Strong"/>
          <w:rFonts w:ascii="Arial" w:hAnsi="Arial" w:cs="Arial"/>
          <w:color w:val="333333"/>
          <w:lang w:val="en"/>
        </w:rPr>
        <w:t>Location:</w:t>
      </w:r>
      <w:r>
        <w:rPr>
          <w:rFonts w:ascii="Arial" w:hAnsi="Arial" w:cs="Arial"/>
          <w:color w:val="333333"/>
          <w:lang w:val="en"/>
        </w:rPr>
        <w:t xml:space="preserve"> Section 2.2</w:t>
      </w:r>
    </w:p>
    <w:p w:rsidR="00356218" w:rsidRDefault="00356218">
      <w:pPr>
        <w:pStyle w:val="content-paragraph"/>
        <w:rPr>
          <w:rFonts w:ascii="Arial" w:hAnsi="Arial" w:cs="Arial"/>
          <w:color w:val="333333"/>
          <w:lang w:val="en"/>
        </w:rPr>
      </w:pPr>
      <w:r>
        <w:rPr>
          <w:rStyle w:val="Strong"/>
          <w:rFonts w:ascii="Arial" w:hAnsi="Arial" w:cs="Arial"/>
          <w:color w:val="333333"/>
          <w:lang w:val="en"/>
        </w:rPr>
        <w:t>Observation:</w:t>
      </w:r>
      <w:r>
        <w:rPr>
          <w:rFonts w:ascii="Arial" w:hAnsi="Arial" w:cs="Arial"/>
          <w:color w:val="333333"/>
          <w:lang w:val="en"/>
        </w:rPr>
        <w:t xml:space="preserve"> "Backup encryption" is listed under Data Storage Protection, and Section 2.5 prohibits storing encryption keys alongside encrypted data. However, the policy doesn't explicitly address whether backup encryption keys must be stored separately from backup media or production keys.</w:t>
      </w:r>
    </w:p>
    <w:p w:rsidR="00356218" w:rsidRDefault="00356218">
      <w:pPr>
        <w:pStyle w:val="Heading3"/>
        <w:rPr>
          <w:rFonts w:ascii="Arial" w:eastAsia="Times New Roman" w:hAnsi="Arial" w:cs="Arial"/>
          <w:color w:val="333333"/>
          <w:lang w:val="en"/>
        </w:rPr>
      </w:pPr>
      <w:r>
        <w:rPr>
          <w:rFonts w:ascii="Arial" w:eastAsia="Times New Roman" w:hAnsi="Arial" w:cs="Arial"/>
          <w:color w:val="333333"/>
          <w:lang w:val="en"/>
        </w:rPr>
        <w:t>N3. Algorithm Deprecation Notification Timeline Undefined</w:t>
      </w:r>
    </w:p>
    <w:p w:rsidR="00356218" w:rsidRDefault="00356218">
      <w:pPr>
        <w:pStyle w:val="content-paragraph"/>
        <w:rPr>
          <w:rFonts w:ascii="Arial" w:hAnsi="Arial" w:cs="Arial"/>
          <w:color w:val="333333"/>
          <w:lang w:val="en"/>
        </w:rPr>
      </w:pPr>
      <w:r>
        <w:rPr>
          <w:rStyle w:val="Strong"/>
          <w:rFonts w:ascii="Arial" w:hAnsi="Arial" w:cs="Arial"/>
          <w:color w:val="333333"/>
          <w:lang w:val="en"/>
        </w:rPr>
        <w:t>Location:</w:t>
      </w:r>
      <w:r>
        <w:rPr>
          <w:rFonts w:ascii="Arial" w:hAnsi="Arial" w:cs="Arial"/>
          <w:color w:val="333333"/>
          <w:lang w:val="en"/>
        </w:rPr>
        <w:t xml:space="preserve"> Section 2.3</w:t>
      </w:r>
    </w:p>
    <w:p w:rsidR="00356218" w:rsidRDefault="00356218">
      <w:pPr>
        <w:pStyle w:val="content-paragraph"/>
        <w:rPr>
          <w:rFonts w:ascii="Arial" w:hAnsi="Arial" w:cs="Arial"/>
          <w:color w:val="333333"/>
          <w:lang w:val="en"/>
        </w:rPr>
      </w:pPr>
      <w:r>
        <w:rPr>
          <w:rStyle w:val="Strong"/>
          <w:rFonts w:ascii="Arial" w:hAnsi="Arial" w:cs="Arial"/>
          <w:color w:val="333333"/>
          <w:lang w:val="en"/>
        </w:rPr>
        <w:t>Observation:</w:t>
      </w:r>
      <w:r>
        <w:rPr>
          <w:rFonts w:ascii="Arial" w:hAnsi="Arial" w:cs="Arial"/>
          <w:color w:val="333333"/>
          <w:lang w:val="en"/>
        </w:rPr>
        <w:t xml:space="preserve"> </w:t>
      </w:r>
      <w:r>
        <w:rPr>
          <w:rFonts w:ascii="Arial" w:hAnsi="Arial" w:cs="Arial"/>
          <w:color w:val="333333"/>
          <w:lang w:val="en"/>
        </w:rPr>
        <w:t>The policy establishes algorithm lifecycle states (Approved, Deprecated, Prohibited) and mentions deprecation triggers migration, but doesn't specify how far in advance System Owners are notified before an algorithm becomes prohibited.</w:t>
      </w:r>
    </w:p>
    <w:p w:rsidR="00356218" w:rsidRDefault="00356218">
      <w:pPr>
        <w:pStyle w:val="Heading3"/>
        <w:rPr>
          <w:rFonts w:ascii="Arial" w:eastAsia="Times New Roman" w:hAnsi="Arial" w:cs="Arial"/>
          <w:color w:val="333333"/>
          <w:lang w:val="en"/>
        </w:rPr>
      </w:pPr>
      <w:r>
        <w:rPr>
          <w:rFonts w:ascii="Arial" w:eastAsia="Times New Roman" w:hAnsi="Arial" w:cs="Arial"/>
          <w:color w:val="333333"/>
          <w:lang w:val="en"/>
        </w:rPr>
        <w:t>N4. Perfect Forward Secrecy Defined But Not Referenced</w:t>
      </w:r>
    </w:p>
    <w:p w:rsidR="00356218" w:rsidRDefault="00356218">
      <w:pPr>
        <w:pStyle w:val="content-paragraph"/>
        <w:rPr>
          <w:rFonts w:ascii="Arial" w:hAnsi="Arial" w:cs="Arial"/>
          <w:color w:val="333333"/>
          <w:lang w:val="en"/>
        </w:rPr>
      </w:pPr>
      <w:r>
        <w:rPr>
          <w:rStyle w:val="Strong"/>
          <w:rFonts w:ascii="Arial" w:hAnsi="Arial" w:cs="Arial"/>
          <w:color w:val="333333"/>
          <w:lang w:val="en"/>
        </w:rPr>
        <w:t>Location:</w:t>
      </w:r>
      <w:r>
        <w:rPr>
          <w:rFonts w:ascii="Arial" w:hAnsi="Arial" w:cs="Arial"/>
          <w:color w:val="333333"/>
          <w:lang w:val="en"/>
        </w:rPr>
        <w:t xml:space="preserve"> Section 5 (Definitions)</w:t>
      </w:r>
    </w:p>
    <w:p w:rsidR="00356218" w:rsidRDefault="00356218">
      <w:pPr>
        <w:pStyle w:val="content-paragraph"/>
        <w:rPr>
          <w:rFonts w:ascii="Arial" w:hAnsi="Arial" w:cs="Arial"/>
          <w:color w:val="333333"/>
          <w:lang w:val="en"/>
        </w:rPr>
      </w:pPr>
      <w:r>
        <w:rPr>
          <w:rStyle w:val="Strong"/>
          <w:rFonts w:ascii="Arial" w:hAnsi="Arial" w:cs="Arial"/>
          <w:color w:val="333333"/>
          <w:lang w:val="en"/>
        </w:rPr>
        <w:t>Observation:</w:t>
      </w:r>
      <w:r>
        <w:rPr>
          <w:rFonts w:ascii="Arial" w:hAnsi="Arial" w:cs="Arial"/>
          <w:color w:val="333333"/>
          <w:lang w:val="en"/>
        </w:rPr>
        <w:t xml:space="preserve"> </w:t>
      </w:r>
      <w:r>
        <w:rPr>
          <w:rFonts w:ascii="Arial" w:hAnsi="Arial" w:cs="Arial"/>
          <w:color w:val="333333"/>
          <w:lang w:val="en"/>
        </w:rPr>
        <w:t>"Perfect Forward Secrecy (PFS)" is defined but not referenced in the policy body. This creates an orphaned definition.</w:t>
      </w:r>
    </w:p>
    <w:p w:rsidR="00356218" w:rsidRDefault="00356218">
      <w:pPr>
        <w:pStyle w:val="Heading2"/>
        <w:pBdr>
          <w:bottom w:val="single" w:sz="6" w:space="8" w:color="DDDDDD"/>
        </w:pBdr>
        <w:spacing w:before="450" w:beforeAutospacing="0"/>
        <w:rPr>
          <w:rFonts w:ascii="Arial" w:eastAsia="Times New Roman" w:hAnsi="Arial" w:cs="Arial"/>
          <w:color w:val="3498DB"/>
          <w:sz w:val="33"/>
          <w:szCs w:val="33"/>
          <w:lang w:val="en"/>
        </w:rPr>
      </w:pPr>
      <w:r>
        <w:rPr>
          <w:rFonts w:ascii="Arial" w:eastAsia="Times New Roman" w:hAnsi="Arial" w:cs="Arial"/>
          <w:color w:val="3498DB"/>
          <w:sz w:val="33"/>
          <w:szCs w:val="33"/>
          <w:lang w:val="en"/>
        </w:rPr>
        <w:t>Compliance Mapping Verification</w:t>
      </w:r>
    </w:p>
    <w:tbl>
      <w:tblPr>
        <w:tblW w:w="5000" w:type="pct"/>
        <w:tblCellMar>
          <w:top w:w="15" w:type="dxa"/>
          <w:left w:w="15" w:type="dxa"/>
          <w:bottom w:w="15" w:type="dxa"/>
          <w:right w:w="15" w:type="dxa"/>
        </w:tblCellMar>
        <w:tblLook w:val="04A0" w:firstRow="1" w:lastRow="0" w:firstColumn="1" w:lastColumn="0" w:noHBand="0" w:noVBand="1"/>
      </w:tblPr>
      <w:tblGrid>
        <w:gridCol w:w="3453"/>
        <w:gridCol w:w="2067"/>
        <w:gridCol w:w="3490"/>
      </w:tblGrid>
      <w:tr w:rsidR="0000000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b/>
                <w:bCs/>
                <w:color w:val="2C3E50"/>
              </w:rPr>
            </w:pPr>
            <w:r>
              <w:rPr>
                <w:rFonts w:ascii="Arial" w:eastAsia="Times New Roman" w:hAnsi="Arial" w:cs="Arial"/>
                <w:b/>
                <w:bCs/>
                <w:color w:val="2C3E50"/>
              </w:rPr>
              <w:t>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b/>
                <w:bCs/>
                <w:color w:val="2C3E50"/>
              </w:rPr>
            </w:pPr>
            <w:r>
              <w:rPr>
                <w:rFonts w:ascii="Arial" w:eastAsia="Times New Roman" w:hAnsi="Arial" w:cs="Arial"/>
                <w:b/>
                <w:bCs/>
                <w:color w:val="2C3E50"/>
              </w:rPr>
              <w:t>Coverage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b/>
                <w:bCs/>
                <w:color w:val="2C3E50"/>
              </w:rPr>
            </w:pPr>
            <w:r>
              <w:rPr>
                <w:rFonts w:ascii="Arial" w:eastAsia="Times New Roman" w:hAnsi="Arial" w:cs="Arial"/>
                <w:b/>
                <w:bCs/>
                <w:color w:val="2C3E50"/>
              </w:rPr>
              <w:t>Notes</w:t>
            </w:r>
          </w:p>
        </w:tc>
      </w:tr>
      <w:tr w:rsidR="0000000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ISO 27001:2022 A.8.24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Segoe UI Symbol" w:eastAsia="Times New Roman" w:hAnsi="Segoe UI Symbol" w:cs="Segoe UI Symbol"/>
                <w:color w:val="333333"/>
              </w:rPr>
              <w:t>✓</w:t>
            </w:r>
            <w:r>
              <w:rPr>
                <w:rFonts w:ascii="Arial" w:eastAsia="Times New Roman" w:hAnsi="Arial" w:cs="Arial"/>
                <w:color w:val="333333"/>
              </w:rPr>
              <w:t xml:space="preserve"> Complete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Policy documented, approved, covers all required elements</w:t>
            </w:r>
          </w:p>
        </w:tc>
      </w:tr>
      <w:tr w:rsidR="0000000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Swiss nDSG Art. 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Segoe UI Symbol" w:eastAsia="Times New Roman" w:hAnsi="Segoe UI Symbol" w:cs="Segoe UI Symbol"/>
                <w:color w:val="333333"/>
              </w:rPr>
              <w:t>✓</w:t>
            </w:r>
            <w:r>
              <w:rPr>
                <w:rFonts w:ascii="Arial" w:eastAsia="Times New Roman" w:hAnsi="Arial" w:cs="Arial"/>
                <w:color w:val="333333"/>
              </w:rPr>
              <w:t xml:space="preserve"> Complete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Appropriate technical measures addressed</w:t>
            </w:r>
          </w:p>
        </w:tc>
      </w:tr>
      <w:tr w:rsidR="0000000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GDPR Art. 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Segoe UI Symbol" w:eastAsia="Times New Roman" w:hAnsi="Segoe UI Symbol" w:cs="Segoe UI Symbol"/>
                <w:color w:val="333333"/>
              </w:rPr>
              <w:t>✓</w:t>
            </w:r>
            <w:r>
              <w:rPr>
                <w:rFonts w:ascii="Arial" w:eastAsia="Times New Roman" w:hAnsi="Arial" w:cs="Arial"/>
                <w:color w:val="333333"/>
              </w:rPr>
              <w:t xml:space="preserve"> Complete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Encryption as security measure covered</w:t>
            </w:r>
          </w:p>
        </w:tc>
      </w:tr>
      <w:tr w:rsidR="0000000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Conditional frameworks (PCI DSS, FINMA, DORA, NIS2)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Segoe UI Symbol" w:eastAsia="Times New Roman" w:hAnsi="Segoe UI Symbol" w:cs="Segoe UI Symbol"/>
                <w:color w:val="333333"/>
              </w:rPr>
              <w:t>✓</w:t>
            </w:r>
            <w:r>
              <w:rPr>
                <w:rFonts w:ascii="Arial" w:eastAsia="Times New Roman" w:hAnsi="Arial" w:cs="Arial"/>
                <w:color w:val="333333"/>
              </w:rPr>
              <w:t xml:space="preserve"> Appropriately scoped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Tier 2 treatment correct per ISMS-POL-00</w:t>
            </w:r>
          </w:p>
        </w:tc>
      </w:tr>
    </w:tbl>
    <w:p w:rsidR="00356218" w:rsidRDefault="00356218">
      <w:pPr>
        <w:pStyle w:val="Heading2"/>
        <w:pBdr>
          <w:bottom w:val="single" w:sz="6" w:space="8" w:color="DDDDDD"/>
        </w:pBdr>
        <w:spacing w:before="450" w:beforeAutospacing="0"/>
        <w:rPr>
          <w:rFonts w:ascii="Arial" w:eastAsia="Times New Roman" w:hAnsi="Arial" w:cs="Arial"/>
          <w:color w:val="3498DB"/>
          <w:sz w:val="33"/>
          <w:szCs w:val="33"/>
          <w:lang w:val="en"/>
        </w:rPr>
      </w:pPr>
      <w:r>
        <w:rPr>
          <w:rFonts w:ascii="Arial" w:eastAsia="Times New Roman" w:hAnsi="Arial" w:cs="Arial"/>
          <w:color w:val="3498DB"/>
          <w:sz w:val="33"/>
          <w:szCs w:val="33"/>
          <w:lang w:val="en"/>
        </w:rPr>
        <w:t>Stage 1 Readiness Checklist</w:t>
      </w:r>
    </w:p>
    <w:tbl>
      <w:tblPr>
        <w:tblW w:w="5000" w:type="pct"/>
        <w:tblCellMar>
          <w:top w:w="15" w:type="dxa"/>
          <w:left w:w="15" w:type="dxa"/>
          <w:bottom w:w="15" w:type="dxa"/>
          <w:right w:w="15" w:type="dxa"/>
        </w:tblCellMar>
        <w:tblLook w:val="04A0" w:firstRow="1" w:lastRow="0" w:firstColumn="1" w:lastColumn="0" w:noHBand="0" w:noVBand="1"/>
      </w:tblPr>
      <w:tblGrid>
        <w:gridCol w:w="7402"/>
        <w:gridCol w:w="1608"/>
      </w:tblGrid>
      <w:tr w:rsidR="0000000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b/>
                <w:bCs/>
                <w:color w:val="2C3E50"/>
              </w:rPr>
            </w:pPr>
            <w:r>
              <w:rPr>
                <w:rFonts w:ascii="Arial" w:eastAsia="Times New Roman" w:hAnsi="Arial" w:cs="Arial"/>
                <w:b/>
                <w:bCs/>
                <w:color w:val="2C3E50"/>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b/>
                <w:bCs/>
                <w:color w:val="2C3E50"/>
              </w:rPr>
            </w:pPr>
            <w:r>
              <w:rPr>
                <w:rFonts w:ascii="Arial" w:eastAsia="Times New Roman" w:hAnsi="Arial" w:cs="Arial"/>
                <w:b/>
                <w:bCs/>
                <w:color w:val="2C3E50"/>
              </w:rPr>
              <w:t>Status</w:t>
            </w:r>
          </w:p>
        </w:tc>
      </w:tr>
      <w:tr w:rsidR="0000000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Policy document exists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Segoe UI Symbol" w:eastAsia="Times New Roman" w:hAnsi="Segoe UI Symbol" w:cs="Segoe UI Symbol"/>
                <w:color w:val="333333"/>
              </w:rPr>
              <w:t>✓</w:t>
            </w:r>
          </w:p>
        </w:tc>
      </w:tr>
      <w:tr w:rsidR="0000000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Management approval structure defined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Segoe UI Symbol" w:eastAsia="Times New Roman" w:hAnsi="Segoe UI Symbol" w:cs="Segoe UI Symbol"/>
                <w:color w:val="333333"/>
              </w:rPr>
              <w:t>✓</w:t>
            </w:r>
          </w:p>
        </w:tc>
      </w:tr>
      <w:tr w:rsidR="0000000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Scope clearly defined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Segoe UI Symbol" w:eastAsia="Times New Roman" w:hAnsi="Segoe UI Symbol" w:cs="Segoe UI Symbol"/>
                <w:color w:val="333333"/>
              </w:rPr>
              <w:t>✓</w:t>
            </w:r>
          </w:p>
        </w:tc>
      </w:tr>
      <w:tr w:rsidR="0000000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Requirements tied to risk/classification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Segoe UI Symbol" w:eastAsia="Times New Roman" w:hAnsi="Segoe UI Symbol" w:cs="Segoe UI Symbol"/>
                <w:color w:val="333333"/>
              </w:rPr>
              <w:t>✓</w:t>
            </w:r>
          </w:p>
        </w:tc>
      </w:tr>
      <w:tr w:rsidR="0000000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Roles and responsibilities assigned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Segoe UI Symbol" w:eastAsia="Times New Roman" w:hAnsi="Segoe UI Symbol" w:cs="Segoe UI Symbol"/>
                <w:color w:val="333333"/>
              </w:rPr>
              <w:t>✓</w:t>
            </w:r>
          </w:p>
        </w:tc>
      </w:tr>
      <w:tr w:rsidR="0000000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Review cycle established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Segoe UI Symbol" w:eastAsia="Times New Roman" w:hAnsi="Segoe UI Symbol" w:cs="Segoe UI Symbol"/>
                <w:color w:val="333333"/>
              </w:rPr>
              <w:t>✓</w:t>
            </w:r>
          </w:p>
        </w:tc>
      </w:tr>
      <w:tr w:rsidR="0000000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Integration with ISMS documented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Segoe UI Symbol" w:eastAsia="Times New Roman" w:hAnsi="Segoe UI Symbol" w:cs="Segoe UI Symbol"/>
                <w:color w:val="333333"/>
              </w:rPr>
              <w:t>✓</w:t>
            </w:r>
          </w:p>
        </w:tc>
      </w:tr>
      <w:tr w:rsidR="0000000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Implementation guidance referenced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Segoe UI Symbol" w:eastAsia="Times New Roman" w:hAnsi="Segoe UI Symbol" w:cs="Segoe UI Symbol"/>
                <w:color w:val="333333"/>
              </w:rPr>
              <w:t>✓</w:t>
            </w:r>
          </w:p>
        </w:tc>
      </w:tr>
    </w:tbl>
    <w:p w:rsidR="00356218" w:rsidRDefault="00356218">
      <w:pPr>
        <w:pStyle w:val="content-paragraph"/>
        <w:rPr>
          <w:rFonts w:ascii="Arial" w:hAnsi="Arial" w:cs="Arial"/>
          <w:color w:val="333333"/>
          <w:lang w:val="en"/>
        </w:rPr>
      </w:pPr>
      <w:r>
        <w:rPr>
          <w:rStyle w:val="Strong"/>
          <w:rFonts w:ascii="Arial" w:hAnsi="Arial" w:cs="Arial"/>
          <w:color w:val="333333"/>
          <w:lang w:val="en"/>
        </w:rPr>
        <w:t>Conclusion:</w:t>
      </w:r>
      <w:r>
        <w:rPr>
          <w:rFonts w:ascii="Arial" w:hAnsi="Arial" w:cs="Arial"/>
          <w:color w:val="333333"/>
          <w:lang w:val="en"/>
        </w:rPr>
        <w:t xml:space="preserve"> Document is ready for Stage 1 audit. Address moderate issues before Stage 2.</w:t>
      </w:r>
    </w:p>
    <w:p w:rsidR="00356218" w:rsidRDefault="00356218">
      <w:pPr>
        <w:pStyle w:val="Heading2"/>
        <w:pBdr>
          <w:bottom w:val="single" w:sz="6" w:space="8" w:color="DDDDDD"/>
        </w:pBdr>
        <w:spacing w:before="450" w:beforeAutospacing="0"/>
        <w:rPr>
          <w:rFonts w:ascii="Arial" w:eastAsia="Times New Roman" w:hAnsi="Arial" w:cs="Arial"/>
          <w:color w:val="3498DB"/>
          <w:sz w:val="33"/>
          <w:szCs w:val="33"/>
          <w:lang w:val="en"/>
        </w:rPr>
      </w:pPr>
      <w:r>
        <w:rPr>
          <w:rFonts w:ascii="Arial" w:eastAsia="Times New Roman" w:hAnsi="Arial" w:cs="Arial"/>
          <w:color w:val="3498DB"/>
          <w:sz w:val="33"/>
          <w:szCs w:val="33"/>
          <w:lang w:val="en"/>
        </w:rPr>
        <w:t>Recommended Actions</w:t>
      </w:r>
    </w:p>
    <w:tbl>
      <w:tblPr>
        <w:tblW w:w="5000" w:type="pct"/>
        <w:tblCellMar>
          <w:top w:w="15" w:type="dxa"/>
          <w:left w:w="15" w:type="dxa"/>
          <w:bottom w:w="15" w:type="dxa"/>
          <w:right w:w="15" w:type="dxa"/>
        </w:tblCellMar>
        <w:tblLook w:val="04A0" w:firstRow="1" w:lastRow="0" w:firstColumn="1" w:lastColumn="0" w:noHBand="0" w:noVBand="1"/>
      </w:tblPr>
      <w:tblGrid>
        <w:gridCol w:w="1081"/>
        <w:gridCol w:w="4816"/>
        <w:gridCol w:w="3113"/>
      </w:tblGrid>
      <w:tr w:rsidR="0000000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b/>
                <w:bCs/>
                <w:color w:val="2C3E50"/>
              </w:rPr>
            </w:pPr>
            <w:r>
              <w:rPr>
                <w:rFonts w:ascii="Arial" w:eastAsia="Times New Roman" w:hAnsi="Arial" w:cs="Arial"/>
                <w:b/>
                <w:bCs/>
                <w:color w:val="2C3E50"/>
              </w:rPr>
              <w:t>Priority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b/>
                <w:bCs/>
                <w:color w:val="2C3E50"/>
              </w:rPr>
            </w:pPr>
            <w:r>
              <w:rPr>
                <w:rFonts w:ascii="Arial" w:eastAsia="Times New Roman" w:hAnsi="Arial" w:cs="Arial"/>
                <w:b/>
                <w:bCs/>
                <w:color w:val="2C3E50"/>
              </w:rPr>
              <w:t>Action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b/>
                <w:bCs/>
                <w:color w:val="2C3E50"/>
              </w:rPr>
            </w:pPr>
            <w:r>
              <w:rPr>
                <w:rFonts w:ascii="Arial" w:eastAsia="Times New Roman" w:hAnsi="Arial" w:cs="Arial"/>
                <w:b/>
                <w:bCs/>
                <w:color w:val="2C3E50"/>
              </w:rPr>
              <w:t>Timing</w:t>
            </w:r>
          </w:p>
        </w:tc>
      </w:tr>
      <w:tr w:rsidR="0000000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Finalize approval signatures and effective 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Before Stage 1</w:t>
            </w:r>
          </w:p>
        </w:tc>
      </w:tr>
      <w:tr w:rsidR="0000000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Revise Section 2.4 certificate validity statement (M1)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Before Stage 2</w:t>
            </w:r>
          </w:p>
        </w:tc>
      </w:tr>
      <w:tr w:rsidR="0000000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Add incident severity criteria to Section 3.4 (M2)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Before Stage 2</w:t>
            </w:r>
          </w:p>
        </w:tc>
      </w:tr>
      <w:tr w:rsidR="0000000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Address minor observations (N1-N4)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56218" w:rsidRDefault="00356218">
            <w:pPr>
              <w:spacing w:before="300" w:after="300"/>
              <w:rPr>
                <w:rFonts w:ascii="Arial" w:eastAsia="Times New Roman" w:hAnsi="Arial" w:cs="Arial"/>
                <w:color w:val="333333"/>
              </w:rPr>
            </w:pPr>
            <w:r>
              <w:rPr>
                <w:rFonts w:ascii="Arial" w:eastAsia="Times New Roman" w:hAnsi="Arial" w:cs="Arial"/>
                <w:color w:val="333333"/>
              </w:rPr>
              <w:t>Within 90 days post-certification</w:t>
            </w:r>
          </w:p>
        </w:tc>
      </w:tr>
    </w:tbl>
    <w:p w:rsidR="00356218" w:rsidRDefault="00356218">
      <w:pPr>
        <w:rPr>
          <w:rFonts w:eastAsia="Times New Roman"/>
        </w:rPr>
      </w:pPr>
    </w:p>
    <w:sectPr w:rsidR="0000000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56218"/>
    <w:rsid w:val="00356218"/>
    <w:rsid w:val="003F0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8E323D6-ACE2-4656-8347-9994918ED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document-title">
    <w:name w:val="document-title"/>
    <w:basedOn w:val="Normal"/>
    <w:pPr>
      <w:spacing w:before="100" w:beforeAutospacing="1" w:after="300"/>
      <w:jc w:val="center"/>
    </w:pPr>
    <w:rPr>
      <w:color w:val="2C3E50"/>
      <w:sz w:val="42"/>
      <w:szCs w:val="42"/>
    </w:rPr>
  </w:style>
  <w:style w:type="paragraph" w:customStyle="1" w:styleId="section-heading">
    <w:name w:val="section-heading"/>
    <w:basedOn w:val="Normal"/>
    <w:pPr>
      <w:pBdr>
        <w:bottom w:val="single" w:sz="6" w:space="8" w:color="DDDDDD"/>
      </w:pBdr>
      <w:spacing w:before="450" w:after="100" w:afterAutospacing="1"/>
    </w:pPr>
    <w:rPr>
      <w:color w:val="3498DB"/>
      <w:sz w:val="33"/>
      <w:szCs w:val="33"/>
    </w:rPr>
  </w:style>
  <w:style w:type="paragraph" w:customStyle="1" w:styleId="content-paragraph">
    <w:name w:val="content-paragraph"/>
    <w:basedOn w:val="Normal"/>
    <w:pPr>
      <w:spacing w:before="150" w:after="150"/>
      <w:jc w:val="both"/>
    </w:pPr>
  </w:style>
  <w:style w:type="paragraph" w:customStyle="1" w:styleId="bullet-list">
    <w:name w:val="bullet-list"/>
    <w:basedOn w:val="Normal"/>
    <w:pPr>
      <w:spacing w:before="150" w:after="150"/>
    </w:pPr>
  </w:style>
  <w:style w:type="paragraph" w:customStyle="1" w:styleId="table-content">
    <w:name w:val="table-content"/>
    <w:basedOn w:val="Normal"/>
    <w:pPr>
      <w:spacing w:before="300" w:after="30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642</Words>
  <Characters>3666</Characters>
  <Application>Microsoft Office Word</Application>
  <DocSecurity>4</DocSecurity>
  <Lines>30</Lines>
  <Paragraphs>8</Paragraphs>
  <ScaleCrop>false</ScaleCrop>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ISMS Stage 1 Control Review Report</dc:title>
  <dc:subject/>
  <dc:creator>CARA-USER</dc:creator>
  <cp:keywords/>
  <dc:description/>
  <cp:lastModifiedBy>CARA-USER</cp:lastModifiedBy>
  <cp:revision>2</cp:revision>
  <dcterms:created xsi:type="dcterms:W3CDTF">2026-01-16T11:50:00Z</dcterms:created>
  <dcterms:modified xsi:type="dcterms:W3CDTF">2026-01-16T11:50:00Z</dcterms:modified>
</cp:coreProperties>
</file>