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rial" w:hAnsi="Arial"/>
          <w:b/>
          <w:sz w:val="28"/>
        </w:rPr>
        <w:t>Catálogo de interfaces</w:t>
      </w:r>
    </w:p>
    <w:p>
      <w:pPr>
        <w:spacing w:after="180"/>
      </w:pPr>
      <w:r>
        <w:rPr>
          <w:rFonts w:ascii="Arial" w:hAnsi="Arial"/>
          <w:b/>
          <w:sz w:val="24"/>
        </w:rPr>
        <w:t>Subequipo Motor de Taquilla Sprint 5</w:t>
      </w:r>
    </w:p>
    <w:p>
      <w:pPr>
        <w:spacing w:after="160"/>
        <w:jc w:val="center"/>
      </w:pPr>
      <w:r>
        <w:rPr>
          <w:rFonts w:ascii="Arial" w:hAnsi="Arial"/>
          <w:i/>
          <w:sz w:val="16"/>
        </w:rPr>
        <w:t>CU-MT-07, CU-MT-08 y CU-MT-09 operan sobre actividades con identidad propia. Día agrupa la fecha; cada actividad conserva su nombre, horario, recinto, cupo y registros.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152"/>
        <w:gridCol w:w="3024"/>
        <w:gridCol w:w="2736"/>
        <w:gridCol w:w="2448"/>
      </w:tblGrid>
      <w:tr>
        <w:trPr>
          <w:tblHeader/>
        </w:trPr>
        <w:tc>
          <w:tcPr>
            <w:tcW w:type="dxa" w:w="1152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24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Nombre de la interfaz</w:t>
            </w:r>
          </w:p>
        </w:tc>
        <w:tc>
          <w:tcPr>
            <w:tcW w:type="dxa" w:w="2736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Casos de uso asociados</w:t>
            </w:r>
          </w:p>
        </w:tc>
        <w:tc>
          <w:tcPr>
            <w:tcW w:type="dxa" w:w="2448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Actores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UI-62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Gestión de boletos especiales por actividad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CU-MT-07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Organizador responsable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UI-63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Apertura y cierre de inscripciones por actividad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CU-MT-08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Organizador responsable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UI-64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Panel de taquilla y participación por actividad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CU-MT-09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Organizador responsable</w:t>
            </w:r>
          </w:p>
        </w:tc>
      </w:tr>
    </w:tbl>
    <w:p/>
    <w:p>
      <w:pPr>
        <w:pStyle w:val="Heading1"/>
        <w:keepNext/>
        <w:spacing w:before="0" w:after="140"/>
      </w:pPr>
      <w:r>
        <w:rPr>
          <w:rFonts w:ascii="Arial" w:hAnsi="Arial"/>
          <w:color w:val="000000"/>
          <w:sz w:val="30"/>
        </w:rPr>
        <w:t>Relación de casos de uso y pantallas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835"/>
        <w:gridCol w:w="1181"/>
        <w:gridCol w:w="1123"/>
        <w:gridCol w:w="1296"/>
        <w:gridCol w:w="2045"/>
        <w:gridCol w:w="1843"/>
        <w:gridCol w:w="1037"/>
      </w:tblGrid>
      <w:tr>
        <w:trPr>
          <w:tblHeader/>
        </w:trPr>
        <w:tc>
          <w:tcPr>
            <w:tcW w:type="dxa" w:w="835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Caso de uso</w:t>
            </w:r>
          </w:p>
        </w:tc>
        <w:tc>
          <w:tcPr>
            <w:tcW w:type="dxa" w:w="1181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Actor</w:t>
            </w:r>
          </w:p>
        </w:tc>
        <w:tc>
          <w:tcPr>
            <w:tcW w:type="dxa" w:w="1123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Pantalla</w:t>
            </w:r>
          </w:p>
        </w:tc>
        <w:tc>
          <w:tcPr>
            <w:tcW w:type="dxa" w:w="1296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Paso relacionado</w:t>
            </w:r>
          </w:p>
        </w:tc>
        <w:tc>
          <w:tcPr>
            <w:tcW w:type="dxa" w:w="2045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Acción o respuesta</w:t>
            </w:r>
          </w:p>
        </w:tc>
        <w:tc>
          <w:tcPr>
            <w:tcW w:type="dxa" w:w="1843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Evidencia</w:t>
            </w:r>
          </w:p>
        </w:tc>
        <w:tc>
          <w:tcPr>
            <w:tcW w:type="dxa" w:w="1037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Estado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CU-MT-07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Organizador</w:t>
            </w:r>
          </w:p>
        </w:tc>
        <w:tc>
          <w:tcPr>
            <w:tcW w:type="dxa" w:w="112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UI-62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Trayectoria principal, pasos 1–12; A–F</w:t>
            </w:r>
          </w:p>
        </w:tc>
        <w:tc>
          <w:tcPr>
            <w:tcW w:type="dxa" w:w="204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Filtrar actividad; generar, consultar QR e invalidar acreditaciones. Respeta el cupo propio.</w:t>
            </w:r>
          </w:p>
        </w:tc>
        <w:tc>
          <w:tcPr>
            <w:tcW w:type="dxa" w:w="18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UI-62_BoletosActividad.png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Comprobada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CU-MT-08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Organizador</w:t>
            </w:r>
          </w:p>
        </w:tc>
        <w:tc>
          <w:tcPr>
            <w:tcW w:type="dxa" w:w="112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UI-63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Trayectoria principal, pasos 1–10; A–F</w:t>
            </w:r>
          </w:p>
        </w:tc>
        <w:tc>
          <w:tcPr>
            <w:tcW w:type="dxa" w:w="204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Abrir o cerrar actividades; confirmar e identificar el cambio en su historial. A no modifica B.</w:t>
            </w:r>
          </w:p>
        </w:tc>
        <w:tc>
          <w:tcPr>
            <w:tcW w:type="dxa" w:w="18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UI-63_CierreA_BAbierta.png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Comprobada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CU-MT-09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Organizador</w:t>
            </w:r>
          </w:p>
        </w:tc>
        <w:tc>
          <w:tcPr>
            <w:tcW w:type="dxa" w:w="112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UI-64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Trayectoria principal, pasos 1–11; A–E</w:t>
            </w:r>
          </w:p>
        </w:tc>
        <w:tc>
          <w:tcPr>
            <w:tcW w:type="dxa" w:w="204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Filtrar actividad, periodo y modalidad; actualizar y consultar cupos, reservas, espera y accesos propios.</w:t>
            </w:r>
          </w:p>
        </w:tc>
        <w:tc>
          <w:tcPr>
            <w:tcW w:type="dxa" w:w="184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UI-64_PanelActividades.png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Comprobada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Arial" w:hAnsi="Arial"/>
          <w:color w:val="000000"/>
          <w:sz w:val="30"/>
        </w:rPr>
        <w:t>Evidencias de interfaces</w:t>
      </w:r>
    </w:p>
    <w:p>
      <w:pPr>
        <w:keepNext/>
        <w:spacing w:before="100" w:after="60"/>
      </w:pPr>
      <w:r>
        <w:rPr>
          <w:rFonts w:ascii="Arial" w:hAnsi="Arial"/>
          <w:b/>
          <w:sz w:val="20"/>
        </w:rPr>
        <w:t>UI-62 Gestión de boletos especiales CU-MT-07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1" name="Picture 1" descr="UI-62 BoletosActividad" title="UI-62_BoletosActiv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T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6"/>
        </w:rPr>
        <w:t>Actividad B recibe su acreditación sin cambiar los QR existentes. El filtro y la lista identifican nombre, fecha, horario y recinto.</w:t>
      </w:r>
    </w:p>
    <w:p>
      <w:r>
        <w:br w:type="page"/>
      </w:r>
    </w:p>
    <w:p>
      <w:pPr>
        <w:keepNext/>
        <w:spacing w:before="100" w:after="60"/>
      </w:pPr>
      <w:r>
        <w:rPr>
          <w:rFonts w:ascii="Arial" w:hAnsi="Arial"/>
          <w:b/>
          <w:sz w:val="20"/>
        </w:rPr>
        <w:t>UI-63 Apertura y cierre por actividad CU-MT-08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86290"/>
            <wp:docPr id="2" name="Picture 2" descr="UI-63 CierreA BAbierta" title="UI-63_CierreA_BAbier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T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6"/>
        </w:rPr>
        <w:t>Las actividades A y B comparten el 2 de noviembre. Tras cerrar A, B continúa abierta; el historial identifica únicamente a A.</w:t>
      </w:r>
    </w:p>
    <w:p>
      <w:r>
        <w:br w:type="page"/>
      </w:r>
    </w:p>
    <w:p>
      <w:pPr>
        <w:keepNext/>
        <w:spacing w:before="100" w:after="60"/>
      </w:pPr>
      <w:r>
        <w:rPr>
          <w:rFonts w:ascii="Arial" w:hAnsi="Arial"/>
          <w:b/>
          <w:sz w:val="20"/>
        </w:rPr>
        <w:t>UI-64 Panel de taquilla por actividad CU-MT-09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92900"/>
            <wp:docPr id="3" name="Picture 3" descr="UI-64 PanelActividades" title="UI-64_PanelActiv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T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6"/>
        </w:rPr>
        <w:t>Cupos propios de A y B, registros separados y un titular con accesos a varias actividades. Los especiales y las intenciones no se duplican.</w:t>
      </w:r>
    </w:p>
    <w:p>
      <w:r>
        <w:br w:type="page"/>
      </w:r>
    </w:p>
    <w:p>
      <w:pPr>
        <w:keepNext/>
        <w:spacing w:before="100" w:after="60"/>
      </w:pPr>
      <w:r>
        <w:rPr>
          <w:rFonts w:ascii="Arial" w:hAnsi="Arial"/>
          <w:b/>
          <w:sz w:val="20"/>
        </w:rPr>
        <w:t>UI-64 Filtro de la actividad B CU-MT-09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828019"/>
            <wp:docPr id="4" name="Picture 3" descr="UI-64 FiltroActividadB" title="UI-64_FiltroActividad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T-09.png"/>
                    <pic:cNvPicPr/>
                  </pic:nvPicPr>
                  <pic:blipFill>
                    <a:blip r:embed="rIdSprint5FiltroB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6"/>
        </w:rPr>
        <w:t>El filtro muestra solo B con cupo 3, dos reservas, un especial y disponibilidad 0. A conserva sus cifras y no aparece en este desglose.</w:t>
      </w:r>
    </w:p>
    <w:p>
      <w:r>
        <w:br w:type="page"/>
      </w:r>
    </w:p>
    <w:p>
      <w:pPr>
        <w:pStyle w:val="Heading1"/>
        <w:keepNext/>
        <w:spacing w:before="0" w:after="140"/>
      </w:pPr>
      <w:r>
        <w:rPr>
          <w:rFonts w:ascii="Arial" w:hAnsi="Arial"/>
          <w:color w:val="000000"/>
          <w:sz w:val="30"/>
        </w:rPr>
        <w:t>Controles y comprobación del Sprint 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70" w:type="dxa"/>
      </w:tblPr>
      <w:tblGrid>
        <w:gridCol w:w="1296"/>
        <w:gridCol w:w="3528"/>
        <w:gridCol w:w="2736"/>
        <w:gridCol w:w="1800"/>
      </w:tblGrid>
      <w:tr>
        <w:trPr>
          <w:tblHeader/>
        </w:trPr>
        <w:tc>
          <w:tcPr>
            <w:tcW w:type="dxa" w:w="1296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UI y caso</w:t>
            </w:r>
          </w:p>
        </w:tc>
        <w:tc>
          <w:tcPr>
            <w:tcW w:type="dxa" w:w="3528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Controles comprobados</w:t>
            </w:r>
          </w:p>
        </w:tc>
        <w:tc>
          <w:tcPr>
            <w:tcW w:type="dxa" w:w="2736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Respuesta visible</w:t>
            </w:r>
          </w:p>
        </w:tc>
        <w:tc>
          <w:tcPr>
            <w:tcW w:type="dxa" w:w="1800"/>
            <w:shd w:fill="6B183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UI-62</w:t>
              <w:br/>
              <w:t>CU-MT-07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Filtrar actividad, generar paquete, consultar QR e invalidar.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Emisión en B; QR anteriores conservados.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Comprobado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UI-63</w:t>
              <w:br/>
              <w:t>CU-MT-08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Seleccionar, abrir, cerrar, confirmar y consultar historial.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cerrada y B abierta el mismo día.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Comprobado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UI-64</w:t>
              <w:br/>
              <w:t>CU-MT-09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Actividad, periodo, modalidad, actualizar y categorías.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Cada filtro conserva el cupo y los registros propios.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Comprobado</w:t>
            </w:r>
          </w:p>
        </w:tc>
      </w:tr>
    </w:tbl>
    <w:p>
      <w:pPr>
        <w:spacing w:after="160" w:before="160"/>
        <w:jc w:val="left"/>
      </w:pPr>
      <w:r>
        <w:rPr>
          <w:rFonts w:ascii="Arial" w:hAnsi="Arial"/>
          <w:sz w:val="20"/>
        </w:rPr>
        <w:t>Documentación abre los botones UI-62, UI-63 y UI-64 hacia sus rutas correspondientes. Las capturas de cada acceso se conservan en docs/evidencias/sprint5-taquilla.</w:t>
      </w:r>
    </w:p>
    <w:p>
      <w:pPr>
        <w:spacing w:after="160" w:before="160"/>
        <w:jc w:val="left"/>
      </w:pPr>
      <w:r>
        <w:rPr>
          <w:rFonts w:ascii="Arial" w:hAnsi="Arial"/>
          <w:sz w:val="20"/>
        </w:rPr>
        <w:t>Escenario de aceptación: A tiene cupo 5, una reserva, un especial, una persona en espera y una participación; quedan 3 lugares sin comprometer. B tiene cupo 3, dos reservas, un especial, una persona en espera y una participación; quedan 0 lugares.</w:t>
      </w:r>
    </w:p>
    <w:p>
      <w:pPr>
        <w:spacing w:after="160" w:before="160"/>
        <w:jc w:val="left"/>
      </w:pPr>
      <w:r>
        <w:rPr>
          <w:rFonts w:ascii="Arial" w:hAnsi="Arial"/>
          <w:sz w:val="20"/>
        </w:rPr>
        <w:t>La misma cuenta conserva accesos independientes a A y B. El panel muestra dos titulares únicos por cuenta y reporta los especiales como entradas. Las intenciones de asistencia no reservan ni consumen lugares.</w:t>
      </w:r>
    </w:p>
    <w:p>
      <w:pPr>
        <w:spacing w:after="160" w:before="160"/>
        <w:jc w:val="left"/>
      </w:pPr>
      <w:r>
        <w:rPr>
          <w:rFonts w:ascii="Arial" w:hAnsi="Arial"/>
          <w:sz w:val="20"/>
        </w:rPr>
        <w:t>Los límites, el cierre automático y las horas de historial se verificaron en hora institucional de Ciudad de México. La prueba de navegador se ejecutó con el dispositivo configurado en Asia/Tokyo.</w:t>
      </w:r>
    </w:p>
    <w:p>
      <w:pPr>
        <w:spacing w:after="160" w:before="160"/>
        <w:jc w:val="left"/>
      </w:pPr>
      <w:r>
        <w:rPr>
          <w:rFonts w:ascii="Arial" w:hAnsi="Arial"/>
          <w:sz w:val="20"/>
        </w:rPr>
        <w:t>El alcance conserva el módulo implementado y su almacenamiento local. No modifica el QR ni incorpora un backend. El Word anterior y las ramas previas se conservan.</w:t>
      </w:r>
    </w:p>
    <w:sectPr w:rsidR="00C40252" w:rsidRPr="002814A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885097">
    <w:abstractNumId w:val="8"/>
  </w:num>
  <w:num w:numId="2" w16cid:durableId="9457986">
    <w:abstractNumId w:val="6"/>
  </w:num>
  <w:num w:numId="3" w16cid:durableId="1125151736">
    <w:abstractNumId w:val="5"/>
  </w:num>
  <w:num w:numId="4" w16cid:durableId="1924098131">
    <w:abstractNumId w:val="4"/>
  </w:num>
  <w:num w:numId="5" w16cid:durableId="1837914391">
    <w:abstractNumId w:val="7"/>
  </w:num>
  <w:num w:numId="6" w16cid:durableId="2032215973">
    <w:abstractNumId w:val="3"/>
  </w:num>
  <w:num w:numId="7" w16cid:durableId="1927297933">
    <w:abstractNumId w:val="2"/>
  </w:num>
  <w:num w:numId="8" w16cid:durableId="280301627">
    <w:abstractNumId w:val="1"/>
  </w:num>
  <w:num w:numId="9" w16cid:durableId="23909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8B"/>
    <w:rsid w:val="002814A5"/>
    <w:rsid w:val="0029639D"/>
    <w:rsid w:val="00326F90"/>
    <w:rsid w:val="00AA1D8D"/>
    <w:rsid w:val="00B47730"/>
    <w:rsid w:val="00C40252"/>
    <w:rsid w:val="00CB0664"/>
    <w:rsid w:val="00ED5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C82AD"/>
  <w14:defaultImageDpi w14:val="300"/>
  <w15:docId w15:val="{4074B3FD-1285-FD41-8C20-46A6ABBD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Sprint5FiltroB" Type="http://schemas.openxmlformats.org/officeDocument/2006/relationships/image" Target="media/sprint5-filtro-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interfaces — Motor de Taquilla</dc:title>
  <dc:subject>Interfaces correspondientes a CU-MT-07, CU-MT-08 y CU-MT-09</dc:subject>
  <dc:creator>Diego Castillo Rivera</dc:creator>
  <cp:keywords/>
  <dc:description>generated by python-docx</dc:description>
  <cp:lastModifiedBy>Luis Ernesto Merida De Leon</cp:lastModifiedBy>
  <cp:revision>2</cp:revision>
  <dcterms:created xsi:type="dcterms:W3CDTF">2013-12-23T23:15:00Z</dcterms:created>
  <dcterms:modified xsi:type="dcterms:W3CDTF">2026-10-12T01:59:00Z</dcterms:modified>
  <cp:category/>
</cp:coreProperties>
</file>