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Sogand Tatlari</w:t>
      </w:r>
    </w:p>
    <w:p>
      <w:pPr>
        <w:spacing w:after="60"/>
        <w:jc w:val="center"/>
      </w:pPr>
      <w:r>
        <w:rPr>
          <w:rFonts w:ascii="Calibri" w:cs="Calibri" w:eastAsia="Calibri" w:hAnsi="Calibri"/>
          <w:i/>
          <w:iCs/>
          <w:color w:val="595959"/>
          <w:sz w:val="21"/>
          <w:szCs w:val="21"/>
        </w:rPr>
        <w:t xml:space="preserve">AI Researcher — Numerical Optimization, LLM Reliability &amp; Systematic Failure Characterization</w:t>
      </w:r>
    </w:p>
    <w:p>
      <w:pPr>
        <w:spacing w:after="120"/>
        <w:jc w:val="center"/>
      </w:pPr>
      <w:r>
        <w:rPr>
          <w:rFonts w:ascii="Calibri" w:cs="Calibri" w:eastAsia="Calibri" w:hAnsi="Calibri"/>
          <w:sz w:val="19"/>
          <w:szCs w:val="19"/>
        </w:rPr>
        <w:t xml:space="preserve">Tehran, Iran  |  sogandtatlari1999@gmail.com  |  +98 901 343 1706  |  </w:t>
      </w:r>
      <w:hyperlink w:history="1" r:id="rId4zdypzo_n_xmfbg7tuu36">
        <w:r>
          <w:rPr>
            <w:rStyle w:val="Hyperlink"/>
            <w:rFonts w:ascii="Calibri" w:cs="Calibri" w:eastAsia="Calibri" w:hAnsi="Calibri"/>
            <w:sz w:val="20"/>
            <w:szCs w:val="20"/>
          </w:rPr>
          <w:t xml:space="preserve">GitHub</w:t>
        </w:r>
      </w:hyperlink>
      <w:r>
        <w:rPr>
          <w:rFonts w:ascii="Calibri" w:cs="Calibri" w:eastAsia="Calibri" w:hAnsi="Calibri"/>
          <w:sz w:val="19"/>
          <w:szCs w:val="19"/>
        </w:rPr>
        <w:t xml:space="preserve">  |  </w:t>
      </w:r>
      <w:hyperlink w:history="1" r:id="rIdzhfgj3psmdv2mzg7aw0bw">
        <w:r>
          <w:rPr>
            <w:rStyle w:val="Hyperlink"/>
            <w:rFonts w:ascii="Calibri" w:cs="Calibri" w:eastAsia="Calibri" w:hAnsi="Calibri"/>
            <w:sz w:val="20"/>
            <w:szCs w:val="20"/>
          </w:rPr>
          <w:t xml:space="preserve">LinkedIn</w:t>
        </w:r>
      </w:hyperlink>
    </w:p>
    <w:p>
      <w:pPr>
        <w:pBdr>
          <w:bottom w:val="single" w:color="1F3864" w:sz="6" w:space="1"/>
        </w:pBdr>
        <w:spacing w:after="120"/>
      </w:pPr>
    </w:p>
    <w:p>
      <w:pPr>
        <w:pBdr>
          <w:bottom w:val="single" w:color="1F3864" w:sz="4" w:space="2"/>
        </w:pBdr>
        <w:spacing w:after="80" w:before="200"/>
      </w:pPr>
      <w:r>
        <w:rPr>
          <w:rFonts w:ascii="Calibri" w:cs="Calibri" w:eastAsia="Calibri" w:hAnsi="Calibri"/>
          <w:b/>
          <w:bCs/>
          <w:color w:val="1F3864"/>
          <w:sz w:val="22"/>
          <w:szCs w:val="22"/>
        </w:rPr>
        <w:t xml:space="preserve">RESEARCH FOCUS</w:t>
      </w:r>
    </w:p>
    <w:p>
      <w:pPr>
        <w:spacing w:after="80"/>
      </w:pPr>
      <w:r>
        <w:rPr>
          <w:rFonts w:ascii="Calibri" w:cs="Calibri" w:eastAsia="Calibri" w:hAnsi="Calibri"/>
          <w:sz w:val="20"/>
          <w:szCs w:val="20"/>
        </w:rPr>
        <w:t xml:space="preserve">Software Engineer (B.Sc. Computer Engineering) transitioning into independent AI research, at the intersection of principled numerical/control-theoretic optimizer design and empirical, statistically-grounded characterization of systematic LLM failure patterns (factorial experiment design, GLMM/GLS analysis). Years of hands-on experience deploying production ML systems surfaced open questions about model reliability that motivated this shift toward formal research. Seeking an MSc thesis position to deepen this work through rigorous, reproducible experimental methodology.</w:t>
      </w:r>
    </w:p>
    <w:p>
      <w:pPr>
        <w:pBdr>
          <w:bottom w:val="single" w:color="1F3864" w:sz="4" w:space="2"/>
        </w:pBdr>
        <w:spacing w:after="80" w:before="200"/>
      </w:pPr>
      <w:r>
        <w:rPr>
          <w:rFonts w:ascii="Calibri" w:cs="Calibri" w:eastAsia="Calibri" w:hAnsi="Calibri"/>
          <w:b/>
          <w:bCs/>
          <w:color w:val="1F3864"/>
          <w:sz w:val="22"/>
          <w:szCs w:val="22"/>
        </w:rPr>
        <w:t xml:space="preserve">EDUCATION</w:t>
      </w:r>
    </w:p>
    <w:p>
      <w:pPr>
        <w:tabs>
          <w:tab w:val="right" w:pos="9360"/>
        </w:tabs>
        <w:spacing w:after="20" w:before="120"/>
      </w:pPr>
      <w:r>
        <w:rPr>
          <w:rFonts w:ascii="Calibri" w:cs="Calibri" w:eastAsia="Calibri" w:hAnsi="Calibri"/>
          <w:b/>
          <w:bCs/>
          <w:sz w:val="21"/>
          <w:szCs w:val="21"/>
        </w:rPr>
        <w:t xml:space="preserve">Hakim Sabzevari University — B.Sc. Computer Engineering</w:t>
      </w:r>
      <w:r>
        <w:rPr>
          <w:rFonts w:ascii="Calibri" w:cs="Calibri" w:eastAsia="Calibri" w:hAnsi="Calibri"/>
          <w:i/>
          <w:iCs/>
          <w:color w:val="595959"/>
          <w:sz w:val="20"/>
          <w:szCs w:val="20"/>
        </w:rPr>
        <w:t xml:space="preserve">	2017 – 2022</w:t>
      </w:r>
    </w:p>
    <w:p>
      <w:pPr>
        <w:spacing w:after="60"/>
      </w:pPr>
      <w:r>
        <w:rPr>
          <w:rFonts w:ascii="Calibri" w:cs="Calibri" w:eastAsia="Calibri" w:hAnsi="Calibri"/>
          <w:i/>
          <w:iCs/>
          <w:color w:val="595959"/>
          <w:sz w:val="20"/>
          <w:szCs w:val="20"/>
        </w:rPr>
        <w:t xml:space="preserve">Full Scholarship, public government-funded university  |  GPA: 16.56/20.0 (≈ 3.4/4.0, B+/A-)</w:t>
      </w:r>
    </w:p>
    <w:p>
      <w:pPr>
        <w:pStyle w:val="ListParagraph"/>
        <w:numPr>
          <w:ilvl w:val="0"/>
          <w:numId w:val="2"/>
        </w:numPr>
        <w:spacing w:after="40"/>
      </w:pPr>
      <w:r>
        <w:rPr>
          <w:rFonts w:ascii="Calibri" w:cs="Calibri" w:eastAsia="Calibri" w:hAnsi="Calibri"/>
          <w:sz w:val="20"/>
          <w:szCs w:val="20"/>
        </w:rPr>
        <w:t xml:space="preserve">Capstone (20/20): Domain-Specific Semantic Search Engine — NLP-based retrieval system outperforming keyword baselines on a specialized technical corpus.</w:t>
      </w:r>
    </w:p>
    <w:p>
      <w:pPr>
        <w:pBdr>
          <w:bottom w:val="single" w:color="1F3864" w:sz="4" w:space="2"/>
        </w:pBdr>
        <w:spacing w:after="80" w:before="200"/>
      </w:pPr>
      <w:r>
        <w:rPr>
          <w:rFonts w:ascii="Calibri" w:cs="Calibri" w:eastAsia="Calibri" w:hAnsi="Calibri"/>
          <w:b/>
          <w:bCs/>
          <w:color w:val="1F3864"/>
          <w:sz w:val="22"/>
          <w:szCs w:val="22"/>
        </w:rPr>
        <w:t xml:space="preserve">RESEARCH EXPERIENCE</w:t>
      </w:r>
    </w:p>
    <w:p>
      <w:pPr>
        <w:tabs>
          <w:tab w:val="right" w:pos="9360"/>
        </w:tabs>
        <w:spacing w:after="20" w:before="120"/>
      </w:pPr>
      <w:r>
        <w:rPr>
          <w:rFonts w:ascii="Calibri" w:cs="Calibri" w:eastAsia="Calibri" w:hAnsi="Calibri"/>
          <w:b/>
          <w:bCs/>
          <w:sz w:val="21"/>
          <w:szCs w:val="21"/>
        </w:rPr>
        <w:t xml:space="preserve">Independent AI Researcher</w:t>
      </w:r>
      <w:r>
        <w:rPr>
          <w:rFonts w:ascii="Calibri" w:cs="Calibri" w:eastAsia="Calibri" w:hAnsi="Calibri"/>
          <w:i/>
          <w:iCs/>
          <w:color w:val="595959"/>
          <w:sz w:val="20"/>
          <w:szCs w:val="20"/>
        </w:rPr>
        <w:t xml:space="preserve">	2024 – Present</w:t>
      </w:r>
    </w:p>
    <w:p>
      <w:pPr>
        <w:spacing w:after="60"/>
      </w:pPr>
      <w:r>
        <w:rPr>
          <w:rFonts w:ascii="Calibri" w:cs="Calibri" w:eastAsia="Calibri" w:hAnsi="Calibri"/>
          <w:i/>
          <w:iCs/>
          <w:color w:val="595959"/>
          <w:sz w:val="20"/>
          <w:szCs w:val="20"/>
        </w:rPr>
        <w:t xml:space="preserve">Two co-authored preprints (2025), spanning optimizer design and LLM reliability research</w:t>
      </w:r>
    </w:p>
    <w:p>
      <w:pPr>
        <w:spacing w:after="40"/>
      </w:pPr>
      <w:r>
        <w:rPr>
          <w:rFonts w:ascii="Calibri" w:cs="Calibri" w:eastAsia="Calibri" w:hAnsi="Calibri"/>
          <w:b/>
          <w:bCs/>
          <w:sz w:val="20"/>
          <w:szCs w:val="20"/>
        </w:rPr>
        <w:t xml:space="preserve">LPECO: Control-Theory-Inspired Optimizer for Neural Networks on Tabular Data</w:t>
      </w:r>
    </w:p>
    <w:p>
      <w:pPr>
        <w:pStyle w:val="ListParagraph"/>
        <w:numPr>
          <w:ilvl w:val="0"/>
          <w:numId w:val="2"/>
        </w:numPr>
        <w:spacing w:after="40"/>
      </w:pPr>
      <w:r>
        <w:rPr>
          <w:rFonts w:ascii="Calibri" w:cs="Calibri" w:eastAsia="Calibri" w:hAnsi="Calibri"/>
          <w:sz w:val="20"/>
          <w:szCs w:val="20"/>
        </w:rPr>
        <w:t xml:space="preserve">Designed LPECO (Lion with Predictive Error Correction), adding a PI-control-inspired integral error-correction term to the Lion optimizer to dampen excess momentum and reduce overshoot on non-convex tabular loss landscapes.</w:t>
      </w:r>
    </w:p>
    <w:p>
      <w:pPr>
        <w:pStyle w:val="ListParagraph"/>
        <w:numPr>
          <w:ilvl w:val="0"/>
          <w:numId w:val="2"/>
        </w:numPr>
        <w:spacing w:after="40"/>
      </w:pPr>
      <w:r>
        <w:rPr>
          <w:rFonts w:ascii="Calibri" w:cs="Calibri" w:eastAsia="Calibri" w:hAnsi="Calibri"/>
          <w:sz w:val="20"/>
          <w:szCs w:val="20"/>
        </w:rPr>
        <w:t xml:space="preserve">Achieved formal statistical equivalence (TOST) to LightGBM and 98.4% Bayesian (ROPE) practical equivalence to XGBoost across an 8-dataset benchmark, with the highest mean rank among all methods (Friedman test).</w:t>
      </w:r>
    </w:p>
    <w:p>
      <w:pPr>
        <w:pStyle w:val="ListParagraph"/>
        <w:numPr>
          <w:ilvl w:val="0"/>
          <w:numId w:val="2"/>
        </w:numPr>
        <w:spacing w:after="40"/>
      </w:pPr>
      <w:r>
        <w:rPr>
          <w:rFonts w:ascii="Calibri" w:cs="Calibri" w:eastAsia="Calibri" w:hAnsi="Calibri"/>
          <w:sz w:val="20"/>
          <w:szCs w:val="20"/>
        </w:rPr>
        <w:t xml:space="preserve">Ran a symmetric, TPE-guided two-stage hyperparameter search (128 trials/pairing) to ensure fair, reproducible comparison across optimizers and GBDT baselines.</w:t>
      </w:r>
    </w:p>
    <w:p>
      <w:pPr>
        <w:pStyle w:val="ListParagraph"/>
        <w:numPr>
          <w:ilvl w:val="0"/>
          <w:numId w:val="2"/>
        </w:numPr>
        <w:spacing w:after="40"/>
      </w:pPr>
      <w:r>
        <w:rPr>
          <w:rFonts w:ascii="Calibri" w:cs="Calibri" w:eastAsia="Calibri" w:hAnsi="Calibri"/>
          <w:sz w:val="20"/>
          <w:szCs w:val="20"/>
        </w:rPr>
        <w:t xml:space="preserve">Identified a class-imbalance-sensitive performance pattern (Spearman's ρ ≈ 0.54, not statistically significant at N=8) via post-hoc meta-analysis across datasets, generating a testable hypothesis for future work on imbalanced/low-resource tabular learning.</w:t>
      </w:r>
    </w:p>
    <w:p>
      <w:pPr>
        <w:pStyle w:val="ListParagraph"/>
        <w:numPr>
          <w:ilvl w:val="0"/>
          <w:numId w:val="2"/>
        </w:numPr>
        <w:spacing w:after="40"/>
      </w:pPr>
      <w:r>
        <w:rPr>
          <w:rFonts w:ascii="Calibri" w:cs="Calibri" w:eastAsia="Calibri" w:hAnsi="Calibri"/>
          <w:sz w:val="20"/>
          <w:szCs w:val="20"/>
        </w:rPr>
        <w:t xml:space="preserve">Delivered a statistically dominant result (Mann-Whitney U, p&lt;0.001) on a safety-critical diagnostic dataset (BreastCancer), evidencing the real-world stakes of optimizer reliability.</w:t>
      </w:r>
    </w:p>
    <w:p>
      <w:pPr>
        <w:spacing w:after="40"/>
      </w:pPr>
      <w:r>
        <w:rPr>
          <w:rFonts w:ascii="Calibri" w:cs="Calibri" w:eastAsia="Calibri" w:hAnsi="Calibri"/>
          <w:b/>
          <w:bCs/>
          <w:sz w:val="20"/>
          <w:szCs w:val="20"/>
        </w:rPr>
        <w:t xml:space="preserve">Emergent Brittleness: Pathological Instruction-Following in LLM-Based Code Optimization</w:t>
      </w:r>
    </w:p>
    <w:p>
      <w:pPr>
        <w:spacing w:after="60"/>
      </w:pPr>
      <w:r>
        <w:rPr>
          <w:rFonts w:ascii="Calibri" w:cs="Calibri" w:eastAsia="Calibri" w:hAnsi="Calibri"/>
          <w:i/>
          <w:iCs/>
          <w:color w:val="595959"/>
          <w:sz w:val="20"/>
          <w:szCs w:val="20"/>
        </w:rPr>
        <w:t xml:space="preserve">Under the supervision of Prof. H.R. Hamidi, Imam Khomeini International University (IKIU)</w:t>
      </w:r>
    </w:p>
    <w:p>
      <w:pPr>
        <w:pStyle w:val="ListParagraph"/>
        <w:numPr>
          <w:ilvl w:val="0"/>
          <w:numId w:val="2"/>
        </w:numPr>
        <w:spacing w:after="40"/>
      </w:pPr>
      <w:r>
        <w:rPr>
          <w:rFonts w:ascii="Calibri" w:cs="Calibri" w:eastAsia="Calibri" w:hAnsi="Calibri"/>
          <w:sz w:val="20"/>
          <w:szCs w:val="20"/>
        </w:rPr>
        <w:t xml:space="preserve">Designed and ran a controlled 3×3×5 factorial experiment (270 runs) across 3 LLMs, 3 prompt strategies, and 5 novel synthetic code-optimization tasks to isolate prompt–architecture interaction effects.</w:t>
      </w:r>
    </w:p>
    <w:p>
      <w:pPr>
        <w:pStyle w:val="ListParagraph"/>
        <w:numPr>
          <w:ilvl w:val="0"/>
          <w:numId w:val="2"/>
        </w:numPr>
        <w:spacing w:after="40"/>
      </w:pPr>
      <w:r>
        <w:rPr>
          <w:rFonts w:ascii="Calibri" w:cs="Calibri" w:eastAsia="Calibri" w:hAnsi="Calibri"/>
          <w:sz w:val="20"/>
          <w:szCs w:val="20"/>
        </w:rPr>
        <w:t xml:space="preserve">Applied Generalized Linear Mixed-Effects Models (GLMM, binomial) for correctness and Generalized Least Squares (GLS) for performance, statistically confirming that elaborate 'expert' prompts significantly degrade correctness for a lightweight model (p=0.030), with a trend toward severe performance degradation for another model (p=0.059).</w:t>
      </w:r>
    </w:p>
    <w:p>
      <w:pPr>
        <w:pStyle w:val="ListParagraph"/>
        <w:numPr>
          <w:ilvl w:val="0"/>
          <w:numId w:val="2"/>
        </w:numPr>
        <w:spacing w:after="40"/>
      </w:pPr>
      <w:r>
        <w:rPr>
          <w:rFonts w:ascii="Calibri" w:cs="Calibri" w:eastAsia="Calibri" w:hAnsi="Calibri"/>
          <w:sz w:val="20"/>
          <w:szCs w:val="20"/>
        </w:rPr>
        <w:t xml:space="preserve">Coined 'emergent brittleness' — a failure mode in which highly instruction-tuned LLMs show correlated correctness and performance degradation under specific, benign-looking prompt conditions — and proposed a Cognitive Load Theory account of the mechanism.</w:t>
      </w:r>
    </w:p>
    <w:p>
      <w:pPr>
        <w:pStyle w:val="ListParagraph"/>
        <w:numPr>
          <w:ilvl w:val="0"/>
          <w:numId w:val="2"/>
        </w:numPr>
        <w:spacing w:after="40"/>
      </w:pPr>
      <w:r>
        <w:rPr>
          <w:rFonts w:ascii="Calibri" w:cs="Calibri" w:eastAsia="Calibri" w:hAnsi="Calibri"/>
          <w:sz w:val="20"/>
          <w:szCs w:val="20"/>
        </w:rPr>
        <w:t xml:space="preserve">Connected findings to broader AI-safety concerns (emergent misalignment, model collapse) and outlined a diagnostic/prescriptive research agenda for model-specific, empirically validated prompt engineering and human oversight of AI-generated code.</w:t>
      </w:r>
    </w:p>
    <w:p>
      <w:pPr>
        <w:pStyle w:val="ListParagraph"/>
        <w:numPr>
          <w:ilvl w:val="0"/>
          <w:numId w:val="2"/>
        </w:numPr>
        <w:spacing w:after="40"/>
      </w:pPr>
      <w:r>
        <w:rPr>
          <w:rFonts w:ascii="Calibri" w:cs="Calibri" w:eastAsia="Calibri" w:hAnsi="Calibri"/>
          <w:sz w:val="20"/>
          <w:szCs w:val="20"/>
        </w:rPr>
        <w:t xml:space="preserve">Code &amp; replication package: </w:t>
      </w:r>
      <w:hyperlink w:history="1" r:id="rIdmj18_bbsvuu4v5gendrhr">
        <w:r>
          <w:rPr>
            <w:rStyle w:val="Hyperlink"/>
            <w:rFonts w:ascii="Calibri" w:cs="Calibri" w:eastAsia="Calibri" w:hAnsi="Calibri"/>
            <w:sz w:val="20"/>
            <w:szCs w:val="20"/>
          </w:rPr>
          <w:t xml:space="preserve">github.com/isogand/emergent-brittleness-llm-study</w:t>
        </w:r>
      </w:hyperlink>
    </w:p>
    <w:p>
      <w:pPr>
        <w:pBdr>
          <w:bottom w:val="single" w:color="1F3864" w:sz="4" w:space="2"/>
        </w:pBdr>
        <w:spacing w:after="80" w:before="200"/>
      </w:pPr>
      <w:r>
        <w:rPr>
          <w:rFonts w:ascii="Calibri" w:cs="Calibri" w:eastAsia="Calibri" w:hAnsi="Calibri"/>
          <w:b/>
          <w:bCs/>
          <w:color w:val="1F3864"/>
          <w:sz w:val="22"/>
          <w:szCs w:val="22"/>
        </w:rPr>
        <w:t xml:space="preserve">PUBLICATIONS</w:t>
      </w:r>
    </w:p>
    <w:p>
      <w:pPr>
        <w:pStyle w:val="ListParagraph"/>
        <w:numPr>
          <w:ilvl w:val="0"/>
          <w:numId w:val="2"/>
        </w:numPr>
        <w:spacing w:after="40"/>
      </w:pPr>
      <w:r>
        <w:rPr>
          <w:rFonts w:ascii="Calibri" w:cs="Calibri" w:eastAsia="Calibri" w:hAnsi="Calibri"/>
          <w:sz w:val="20"/>
          <w:szCs w:val="20"/>
        </w:rPr>
        <w:t xml:space="preserve">S. Mobarhan*, S. Tatlari*. “Unlocking Potential: A Case for Neural Network Perseverance on Critical Tabular Tasks Through Principled Optimizer Design.” Preprint, 2025. </w:t>
      </w:r>
      <w:hyperlink w:history="1" r:id="rIdon1qywwxemcnrztw5z1bs">
        <w:r>
          <w:rPr>
            <w:rStyle w:val="Hyperlink"/>
            <w:rFonts w:ascii="Calibri" w:cs="Calibri" w:eastAsia="Calibri" w:hAnsi="Calibri"/>
            <w:sz w:val="20"/>
            <w:szCs w:val="20"/>
          </w:rPr>
          <w:t xml:space="preserve">doi.org/10.5281/zenodo.17116288</w:t>
        </w:r>
      </w:hyperlink>
    </w:p>
    <w:p>
      <w:pPr>
        <w:pStyle w:val="ListParagraph"/>
        <w:numPr>
          <w:ilvl w:val="0"/>
          <w:numId w:val="2"/>
        </w:numPr>
        <w:spacing w:after="40"/>
      </w:pPr>
      <w:r>
        <w:rPr>
          <w:rFonts w:ascii="Calibri" w:cs="Calibri" w:eastAsia="Calibri" w:hAnsi="Calibri"/>
          <w:sz w:val="20"/>
          <w:szCs w:val="20"/>
        </w:rPr>
        <w:t xml:space="preserve">S. Tatlari*, S. Mobarhan*, H. R. Hamidi. “Emergent Brittleness: A Case Study on Pathological Instruction-Following in LLM-Based Code Optimization.” Preprint, 2025. </w:t>
      </w:r>
      <w:hyperlink w:history="1" r:id="rId0pkwojecpafoptlazu5f9">
        <w:r>
          <w:rPr>
            <w:rStyle w:val="Hyperlink"/>
            <w:rFonts w:ascii="Calibri" w:cs="Calibri" w:eastAsia="Calibri" w:hAnsi="Calibri"/>
            <w:sz w:val="20"/>
            <w:szCs w:val="20"/>
          </w:rPr>
          <w:t xml:space="preserve">doi.org/10.5281/zenodo.17116501</w:t>
        </w:r>
      </w:hyperlink>
    </w:p>
    <w:p>
      <w:pPr>
        <w:spacing w:after="60"/>
      </w:pPr>
      <w:r>
        <w:rPr>
          <w:rFonts w:ascii="Calibri" w:cs="Calibri" w:eastAsia="Calibri" w:hAnsi="Calibri"/>
          <w:i/>
          <w:iCs/>
          <w:color w:val="595959"/>
          <w:sz w:val="20"/>
          <w:szCs w:val="20"/>
        </w:rPr>
        <w:t xml:space="preserve">*Denotes equal contribution.</w:t>
      </w:r>
    </w:p>
    <w:p>
      <w:pPr>
        <w:pBdr>
          <w:bottom w:val="single" w:color="1F3864" w:sz="4" w:space="2"/>
        </w:pBdr>
        <w:spacing w:after="80" w:before="200"/>
      </w:pPr>
      <w:r>
        <w:rPr>
          <w:rFonts w:ascii="Calibri" w:cs="Calibri" w:eastAsia="Calibri" w:hAnsi="Calibri"/>
          <w:b/>
          <w:bCs/>
          <w:color w:val="1F3864"/>
          <w:sz w:val="22"/>
          <w:szCs w:val="22"/>
        </w:rPr>
        <w:t xml:space="preserve">PROFESSIONAL EXPERIENCE</w:t>
      </w:r>
    </w:p>
    <w:p>
      <w:pPr>
        <w:tabs>
          <w:tab w:val="right" w:pos="9360"/>
        </w:tabs>
        <w:spacing w:after="20" w:before="120"/>
      </w:pPr>
      <w:r>
        <w:rPr>
          <w:rFonts w:ascii="Calibri" w:cs="Calibri" w:eastAsia="Calibri" w:hAnsi="Calibri"/>
          <w:b/>
          <w:bCs/>
          <w:sz w:val="21"/>
          <w:szCs w:val="21"/>
        </w:rPr>
        <w:t xml:space="preserve">Daric Data Processing (Tehran, Iran) — Mobile Developer &amp; Front-End Team Lead</w:t>
      </w:r>
      <w:r>
        <w:rPr>
          <w:rFonts w:ascii="Calibri" w:cs="Calibri" w:eastAsia="Calibri" w:hAnsi="Calibri"/>
          <w:i/>
          <w:iCs/>
          <w:color w:val="595959"/>
          <w:sz w:val="20"/>
          <w:szCs w:val="20"/>
        </w:rPr>
        <w:t xml:space="preserve">	Apr 2023 – Present</w:t>
      </w:r>
    </w:p>
    <w:p>
      <w:pPr>
        <w:pStyle w:val="ListParagraph"/>
        <w:numPr>
          <w:ilvl w:val="0"/>
          <w:numId w:val="2"/>
        </w:numPr>
        <w:spacing w:after="40"/>
      </w:pPr>
      <w:r>
        <w:rPr>
          <w:rFonts w:ascii="Calibri" w:cs="Calibri" w:eastAsia="Calibri" w:hAnsi="Calibri"/>
          <w:sz w:val="20"/>
          <w:szCs w:val="20"/>
        </w:rPr>
        <w:t xml:space="preserve">Led a team of front-end developers across project timelines and code quality for high-traffic web and mobile applications.</w:t>
      </w:r>
    </w:p>
    <w:p>
      <w:pPr>
        <w:pStyle w:val="ListParagraph"/>
        <w:numPr>
          <w:ilvl w:val="0"/>
          <w:numId w:val="2"/>
        </w:numPr>
        <w:spacing w:after="40"/>
      </w:pPr>
      <w:r>
        <w:rPr>
          <w:rFonts w:ascii="Calibri" w:cs="Calibri" w:eastAsia="Calibri" w:hAnsi="Calibri"/>
          <w:sz w:val="20"/>
          <w:szCs w:val="20"/>
        </w:rPr>
        <w:t xml:space="preserve">Developed the company's primary cross-platform mobile app (React Native) for flight and hotel booking.</w:t>
      </w:r>
    </w:p>
    <w:p>
      <w:pPr>
        <w:pStyle w:val="ListParagraph"/>
        <w:numPr>
          <w:ilvl w:val="0"/>
          <w:numId w:val="2"/>
        </w:numPr>
        <w:spacing w:after="40"/>
      </w:pPr>
      <w:r>
        <w:rPr>
          <w:rFonts w:ascii="Calibri" w:cs="Calibri" w:eastAsia="Calibri" w:hAnsi="Calibri"/>
          <w:sz w:val="20"/>
          <w:szCs w:val="20"/>
        </w:rPr>
        <w:t xml:space="preserve">Pioneered AI adoption within the company, independently designing and deploying production ML models — this hands-on exposure to model reliability and optimization challenges in production directly motivated my transition to independent AI research:</w:t>
      </w:r>
    </w:p>
    <w:p>
      <w:pPr>
        <w:pStyle w:val="ListParagraph"/>
        <w:numPr>
          <w:ilvl w:val="0"/>
          <w:numId w:val="2"/>
        </w:numPr>
        <w:spacing w:after="40"/>
      </w:pPr>
      <w:r>
        <w:rPr>
          <w:rFonts w:ascii="Calibri" w:cs="Calibri" w:eastAsia="Calibri" w:hAnsi="Calibri"/>
          <w:sz w:val="20"/>
          <w:szCs w:val="20"/>
        </w:rPr>
        <w:t xml:space="preserve">Gender Recognition: computer vision model automating gender verification from national ID photos, improving processing efficiency by ~40%.</w:t>
      </w:r>
    </w:p>
    <w:p>
      <w:pPr>
        <w:pStyle w:val="ListParagraph"/>
        <w:numPr>
          <w:ilvl w:val="0"/>
          <w:numId w:val="2"/>
        </w:numPr>
        <w:spacing w:after="40"/>
      </w:pPr>
      <w:r>
        <w:rPr>
          <w:rFonts w:ascii="Calibri" w:cs="Calibri" w:eastAsia="Calibri" w:hAnsi="Calibri"/>
          <w:sz w:val="20"/>
          <w:szCs w:val="20"/>
        </w:rPr>
        <w:t xml:space="preserve">Comment Moderation: NLP system detecting and flagging offensive language for a football club's website.</w:t>
      </w:r>
    </w:p>
    <w:p>
      <w:pPr>
        <w:tabs>
          <w:tab w:val="right" w:pos="9360"/>
        </w:tabs>
        <w:spacing w:after="20" w:before="120"/>
      </w:pPr>
      <w:r>
        <w:rPr>
          <w:rFonts w:ascii="Calibri" w:cs="Calibri" w:eastAsia="Calibri" w:hAnsi="Calibri"/>
          <w:b/>
          <w:bCs/>
          <w:sz w:val="21"/>
          <w:szCs w:val="21"/>
        </w:rPr>
        <w:t xml:space="preserve">dreamworldestate — Mobile Developer</w:t>
      </w:r>
      <w:r>
        <w:rPr>
          <w:rFonts w:ascii="Calibri" w:cs="Calibri" w:eastAsia="Calibri" w:hAnsi="Calibri"/>
          <w:i/>
          <w:iCs/>
          <w:color w:val="595959"/>
          <w:sz w:val="20"/>
          <w:szCs w:val="20"/>
        </w:rPr>
        <w:t xml:space="preserve">	Dec 2021 – Mar 2023  |  Türkiye (Remote)</w:t>
      </w:r>
    </w:p>
    <w:p>
      <w:pPr>
        <w:pStyle w:val="ListParagraph"/>
        <w:numPr>
          <w:ilvl w:val="0"/>
          <w:numId w:val="2"/>
        </w:numPr>
        <w:spacing w:after="40"/>
      </w:pPr>
      <w:r>
        <w:rPr>
          <w:rFonts w:ascii="Calibri" w:cs="Calibri" w:eastAsia="Calibri" w:hAnsi="Calibri"/>
          <w:sz w:val="20"/>
          <w:szCs w:val="20"/>
        </w:rPr>
        <w:t xml:space="preserve">Developed and maintained the company's React Native mobile application for real estate listings.</w:t>
      </w:r>
    </w:p>
    <w:p>
      <w:pPr>
        <w:pBdr>
          <w:bottom w:val="single" w:color="1F3864" w:sz="4" w:space="2"/>
        </w:pBdr>
        <w:spacing w:after="80" w:before="200"/>
      </w:pPr>
      <w:r>
        <w:rPr>
          <w:rFonts w:ascii="Calibri" w:cs="Calibri" w:eastAsia="Calibri" w:hAnsi="Calibri"/>
          <w:b/>
          <w:bCs/>
          <w:color w:val="1F3864"/>
          <w:sz w:val="22"/>
          <w:szCs w:val="22"/>
        </w:rPr>
        <w:t xml:space="preserve">TECHNICAL SKILLS</w:t>
      </w:r>
    </w:p>
    <w:p>
      <w:pPr>
        <w:pStyle w:val="ListParagraph"/>
        <w:numPr>
          <w:ilvl w:val="0"/>
          <w:numId w:val="2"/>
        </w:numPr>
        <w:spacing w:after="40"/>
      </w:pPr>
      <w:r>
        <w:rPr>
          <w:rFonts w:ascii="Calibri" w:cs="Calibri" w:eastAsia="Calibri" w:hAnsi="Calibri"/>
          <w:sz w:val="20"/>
          <w:szCs w:val="20"/>
        </w:rPr>
        <w:t xml:space="preserve">Data Science &amp; ML: Python, PyTorch, Keras, TensorFlow, scikit-learn, pandas, NumPy, MLOps</w:t>
      </w:r>
    </w:p>
    <w:p>
      <w:pPr>
        <w:pStyle w:val="ListParagraph"/>
        <w:numPr>
          <w:ilvl w:val="0"/>
          <w:numId w:val="2"/>
        </w:numPr>
        <w:spacing w:after="40"/>
      </w:pPr>
      <w:r>
        <w:rPr>
          <w:rFonts w:ascii="Calibri" w:cs="Calibri" w:eastAsia="Calibri" w:hAnsi="Calibri"/>
          <w:sz w:val="20"/>
          <w:szCs w:val="20"/>
        </w:rPr>
        <w:t xml:space="preserve">Statistical Methods: GLMM, GLS, factorial experimental design, TOST/Bayesian equivalence testing, Friedman/Mann-Whitney U tests, hyperparameter optimization (TPE)</w:t>
      </w:r>
    </w:p>
    <w:p>
      <w:pPr>
        <w:pStyle w:val="ListParagraph"/>
        <w:numPr>
          <w:ilvl w:val="0"/>
          <w:numId w:val="2"/>
        </w:numPr>
        <w:spacing w:after="40"/>
      </w:pPr>
      <w:r>
        <w:rPr>
          <w:rFonts w:ascii="Calibri" w:cs="Calibri" w:eastAsia="Calibri" w:hAnsi="Calibri"/>
          <w:sz w:val="20"/>
          <w:szCs w:val="20"/>
        </w:rPr>
        <w:t xml:space="preserve">Domains: Natural Language Processing, Computer Vision, Generative AI (Diffusion Models), LLM Evaluation</w:t>
      </w:r>
    </w:p>
    <w:p>
      <w:pPr>
        <w:pStyle w:val="ListParagraph"/>
        <w:numPr>
          <w:ilvl w:val="0"/>
          <w:numId w:val="2"/>
        </w:numPr>
        <w:spacing w:after="40"/>
      </w:pPr>
      <w:r>
        <w:rPr>
          <w:rFonts w:ascii="Calibri" w:cs="Calibri" w:eastAsia="Calibri" w:hAnsi="Calibri"/>
          <w:sz w:val="20"/>
          <w:szCs w:val="20"/>
        </w:rPr>
        <w:t xml:space="preserve">Web &amp; Mobile: React Native, React, JavaScript, REST APIs</w:t>
      </w:r>
    </w:p>
    <w:p>
      <w:pPr>
        <w:pBdr>
          <w:bottom w:val="single" w:color="1F3864" w:sz="4" w:space="2"/>
        </w:pBdr>
        <w:spacing w:after="80" w:before="200"/>
      </w:pPr>
      <w:r>
        <w:rPr>
          <w:rFonts w:ascii="Calibri" w:cs="Calibri" w:eastAsia="Calibri" w:hAnsi="Calibri"/>
          <w:b/>
          <w:bCs/>
          <w:color w:val="1F3864"/>
          <w:sz w:val="22"/>
          <w:szCs w:val="22"/>
        </w:rPr>
        <w:t xml:space="preserve">CERTIFICATIONS &amp; VOLUNTEER EXPERIENCE</w:t>
      </w:r>
    </w:p>
    <w:p>
      <w:pPr>
        <w:pStyle w:val="ListParagraph"/>
        <w:numPr>
          <w:ilvl w:val="0"/>
          <w:numId w:val="2"/>
        </w:numPr>
        <w:spacing w:after="40"/>
      </w:pPr>
      <w:r>
        <w:rPr>
          <w:rFonts w:ascii="Calibri" w:cs="Calibri" w:eastAsia="Calibri" w:hAnsi="Calibri"/>
          <w:sz w:val="20"/>
          <w:szCs w:val="20"/>
        </w:rPr>
        <w:t xml:space="preserve">Certifications: Natural Language Processing; Custom and Distributed Training with TensorFlow — DeepLearning.AI &amp; Coursera</w:t>
      </w:r>
    </w:p>
    <w:p>
      <w:pPr>
        <w:pStyle w:val="ListParagraph"/>
        <w:numPr>
          <w:ilvl w:val="0"/>
          <w:numId w:val="2"/>
        </w:numPr>
        <w:spacing w:after="40"/>
      </w:pPr>
      <w:r>
        <w:rPr>
          <w:rFonts w:ascii="Calibri" w:cs="Calibri" w:eastAsia="Calibri" w:hAnsi="Calibri"/>
          <w:sz w:val="20"/>
          <w:szCs w:val="20"/>
        </w:rPr>
        <w:t xml:space="preserve">Digital Literacy Initiative (University Volunteer Group): Co-organized trips to underserved communities; led workshops teaching basic computer skills and digital literacy.</w:t>
      </w:r>
    </w:p>
    <w:sectPr>
      <w:pgSz w:w="12240" w:h="15840"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zdypzo_n_xmfbg7tuu36" Type="http://schemas.openxmlformats.org/officeDocument/2006/relationships/hyperlink" Target="https://github.com/isogand" TargetMode="External"/><Relationship Id="rIdzhfgj3psmdv2mzg7aw0bw" Type="http://schemas.openxmlformats.org/officeDocument/2006/relationships/hyperlink" Target="https://www.linkedin.com/in/sogandtatlari/" TargetMode="External"/><Relationship Id="rIdmj18_bbsvuu4v5gendrhr" Type="http://schemas.openxmlformats.org/officeDocument/2006/relationships/hyperlink" Target="https://github.com/isogand/emergent-brittleness-llm-study" TargetMode="External"/><Relationship Id="rIdon1qywwxemcnrztw5z1bs" Type="http://schemas.openxmlformats.org/officeDocument/2006/relationships/hyperlink" Target="https://doi.org/10.5281/zenodo.17116288" TargetMode="External"/><Relationship Id="rId0pkwojecpafoptlazu5f9" Type="http://schemas.openxmlformats.org/officeDocument/2006/relationships/hyperlink" Target="https://doi.org/10.5281/zenodo.17116501"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2026-09-17T05:24:22.492Z</dcterms:created>
  <dcterms:modified xsi:type="dcterms:W3CDTF">2026-09-17T05:24:22.500Z</dcterms:modified>
</cp:coreProperties>
</file>

<file path=docProps/custom.xml><?xml version="1.0" encoding="utf-8"?>
<Properties xmlns="http://schemas.openxmlformats.org/officeDocument/2006/custom-properties" xmlns:vt="http://schemas.openxmlformats.org/officeDocument/2006/docPropsVTypes"/>
</file>