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5A9DC">
      <w:r>
        <w:rPr>
          <w:rFonts w:hint="default"/>
          <w:lang w:val="vi-VN"/>
        </w:rPr>
        <w:t>TB{</w:t>
      </w:r>
      <w:r>
        <w:rPr>
          <w:rFonts w:hint="default"/>
        </w:rPr>
        <w:t>h1dd3n_1n_ex1f</w:t>
      </w: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5262245" cy="2855595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C0B3">
      <w:pPr>
        <w:pBdr>
          <w:bottom w:val="single" w:color="auto" w:sz="4" w:space="0"/>
        </w:pBdr>
      </w:pPr>
    </w:p>
    <w:p w14:paraId="31965EF0">
      <w:pPr>
        <w:rPr>
          <w:rFonts w:hint="default"/>
          <w:lang w:val="vi-VN"/>
        </w:rPr>
      </w:pPr>
    </w:p>
    <w:p w14:paraId="0D075DF5">
      <w:pPr>
        <w:rPr>
          <w:rFonts w:hint="default"/>
          <w:lang w:val="vi-VN"/>
        </w:rPr>
      </w:pPr>
      <w:r>
        <w:rPr>
          <w:rFonts w:hint="default"/>
          <w:lang w:val="vi-VN"/>
        </w:rPr>
        <w:t>TB{41.9616, 12.7964}</w:t>
      </w:r>
    </w:p>
    <w:p w14:paraId="46D4D296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5420" cy="2984500"/>
            <wp:effectExtent l="0" t="0" r="1905" b="6350"/>
            <wp:docPr id="2" name="Picture 2" descr="T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w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3F73">
      <w:pPr>
        <w:rPr>
          <w:rFonts w:hint="default"/>
          <w:lang w:val="vi-VN"/>
        </w:rPr>
      </w:pPr>
    </w:p>
    <w:p w14:paraId="17405EAB">
      <w:pPr>
        <w:rPr>
          <w:rFonts w:hint="default"/>
          <w:lang w:val="vi-VN"/>
        </w:rPr>
      </w:pPr>
      <w:r>
        <w:rPr>
          <w:rFonts w:hint="default"/>
          <w:lang w:val="vi-VN"/>
        </w:rPr>
        <w:t>Via Santa Maria Maggiore, 00019 Tivoli, Roma, Italy</w:t>
      </w:r>
    </w:p>
    <w:p w14:paraId="31E16F64">
      <w:r>
        <w:drawing>
          <wp:inline distT="0" distB="0" distL="114300" distR="114300">
            <wp:extent cx="5271135" cy="3965575"/>
            <wp:effectExtent l="0" t="0" r="5715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1F9F">
      <w:pPr>
        <w:pBdr>
          <w:bottom w:val="single" w:color="auto" w:sz="4" w:space="0"/>
        </w:pBdr>
      </w:pPr>
    </w:p>
    <w:p w14:paraId="064B06CF">
      <w:pPr>
        <w:rPr>
          <w:rFonts w:hint="default"/>
          <w:lang w:val="vi-VN"/>
        </w:rPr>
      </w:pPr>
    </w:p>
    <w:p w14:paraId="7D6C7AFE">
      <w:pPr>
        <w:rPr>
          <w:rFonts w:hint="default"/>
          <w:lang w:val="vi-VN"/>
        </w:rPr>
      </w:pPr>
      <w:r>
        <w:rPr>
          <w:rFonts w:hint="default"/>
          <w:lang w:val="vi-VN"/>
        </w:rPr>
        <w:t>TB{47.549018, 9.689505}</w:t>
      </w:r>
    </w:p>
    <w:p w14:paraId="11463A4D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5420" cy="2984500"/>
            <wp:effectExtent l="0" t="0" r="1905" b="6350"/>
            <wp:docPr id="4" name="Picture 4" descr="Is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slan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76F4">
      <w:pPr>
        <w:rPr>
          <w:rFonts w:hint="default"/>
          <w:lang w:val="vi-VN"/>
        </w:rPr>
      </w:pPr>
    </w:p>
    <w:p w14:paraId="4DB79E58">
      <w:pPr>
        <w:rPr>
          <w:rFonts w:hint="default"/>
          <w:lang w:val="vi-VN"/>
        </w:rPr>
      </w:pPr>
      <w:r>
        <w:rPr>
          <w:rFonts w:hint="default"/>
          <w:lang w:val="vi-VN"/>
        </w:rPr>
        <w:t>Озеро Бодензее расположено между тремя странами: Германией, Австрией и Швейцарией.</w:t>
      </w:r>
    </w:p>
    <w:p w14:paraId="72E1F3CB">
      <w:pPr>
        <w:rPr>
          <w:rFonts w:hint="default"/>
          <w:lang w:val="vi-VN"/>
        </w:rPr>
      </w:pPr>
    </w:p>
    <w:p w14:paraId="408CFAE8">
      <w:r>
        <w:drawing>
          <wp:inline distT="0" distB="0" distL="114300" distR="114300">
            <wp:extent cx="5260340" cy="2147570"/>
            <wp:effectExtent l="0" t="0" r="6985" b="508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7F4E4"/>
    <w:p w14:paraId="26821F7A">
      <w:r>
        <w:drawing>
          <wp:inline distT="0" distB="0" distL="114300" distR="114300">
            <wp:extent cx="5268595" cy="1070610"/>
            <wp:effectExtent l="0" t="0" r="8255" b="571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2A77"/>
    <w:p w14:paraId="72FAFEAB">
      <w:pPr>
        <w:pBdr>
          <w:bottom w:val="single" w:color="auto" w:sz="4" w:space="0"/>
        </w:pBdr>
      </w:pPr>
    </w:p>
    <w:p w14:paraId="0E5650E3">
      <w:pPr>
        <w:rPr>
          <w:rFonts w:hint="default"/>
          <w:lang w:val="vi-VN"/>
        </w:rPr>
      </w:pPr>
      <w:r>
        <w:rPr>
          <w:rFonts w:hint="default"/>
          <w:lang w:val="vi-VN"/>
        </w:rPr>
        <w:t>TB{36.035370, 133.068723}</w:t>
      </w:r>
    </w:p>
    <w:p w14:paraId="6BD6A33D">
      <w:pPr>
        <w:rPr>
          <w:rFonts w:hint="default"/>
          <w:lang w:val="vi-VN"/>
        </w:rPr>
      </w:pPr>
    </w:p>
    <w:p w14:paraId="5BA7C8CB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7960" cy="3904615"/>
            <wp:effectExtent l="0" t="0" r="8890" b="635"/>
            <wp:docPr id="7" name="Picture 7" descr="Light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ightHous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7CB9">
      <w:pPr>
        <w:rPr>
          <w:rFonts w:hint="default"/>
          <w:lang w:val="vi-VN"/>
        </w:rPr>
      </w:pPr>
    </w:p>
    <w:p w14:paraId="40DACD9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"http://cub110tabinikki.blog.fc2.com/blog-entry-1697.html"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スーパーカブ110で行く日本一周の旅　旅四百五十七日目　島後から島前へ移動絶景ツーリングの日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7A22F4EF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drawing>
          <wp:inline distT="0" distB="0" distL="114300" distR="114300">
            <wp:extent cx="5273675" cy="4217035"/>
            <wp:effectExtent l="0" t="0" r="3175" b="254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EB40">
      <w:pPr>
        <w:rPr>
          <w:rFonts w:hint="default"/>
          <w:lang w:val="vi-VN"/>
        </w:rPr>
      </w:pPr>
    </w:p>
    <w:p w14:paraId="2374EA12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島の南端の木路ヶ崎灯台を訪れます、知夫理島を一望する事が出来ました。</w:t>
      </w:r>
    </w:p>
    <w:p w14:paraId="7F26A4E1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6780F93">
      <w:pPr>
        <w:rPr>
          <w:rFonts w:hint="default" w:ascii="Times New Roman" w:hAnsi="Times New Roman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Times New Roman" w:hAnsi="Times New Roman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Мы посетили маяк Кидзигасаки на южной оконечности острова, откуда открывается панорамный вид на Тибуридзиму</w:t>
      </w:r>
    </w:p>
    <w:p w14:paraId="62F7D166">
      <w:pPr>
        <w:rPr>
          <w:rFonts w:hint="default" w:ascii="Times New Roman" w:hAnsi="Times New Roman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</w:p>
    <w:p w14:paraId="7D5D5F03">
      <w:r>
        <w:drawing>
          <wp:inline distT="0" distB="0" distL="114300" distR="114300">
            <wp:extent cx="5266055" cy="3539490"/>
            <wp:effectExtent l="0" t="0" r="1270" b="381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45EFC">
      <w:pPr>
        <w:rPr>
          <w:rFonts w:hint="default"/>
          <w:lang w:val="vi-VN"/>
        </w:rPr>
      </w:pPr>
    </w:p>
    <w:p w14:paraId="1B5BCED9">
      <w:r>
        <w:drawing>
          <wp:inline distT="0" distB="0" distL="114300" distR="114300">
            <wp:extent cx="5273675" cy="3681730"/>
            <wp:effectExtent l="0" t="0" r="3175" b="444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5284">
      <w:pPr>
        <w:pBdr>
          <w:bottom w:val="single" w:color="auto" w:sz="4" w:space="0"/>
        </w:pBdr>
      </w:pPr>
    </w:p>
    <w:p w14:paraId="6B4A8F70">
      <w:pPr>
        <w:rPr>
          <w:rFonts w:hint="default"/>
          <w:lang w:val="vi-VN"/>
        </w:rPr>
      </w:pPr>
    </w:p>
    <w:p w14:paraId="3D437E25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17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974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2026-02-14T11:50:33Z</dcterms:created>
  <dc:creator>user</dc:creator>
  <cp:lastModifiedBy>Tiến Lập Đoàn</cp:lastModifiedBy>
  <dcterms:modified xsi:type="dcterms:W3CDTF">2026-02-15T04:11:40Z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D8ACE4C8C7AE468691618FAD5A2B35E1_12</vt:lpwstr>
  </property>
</Properties>
</file>