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2"/>
          <w:szCs w:val="32"/>
        </w:rPr>
        <w:t xml:space="preserve">Competitive Landscape Analysis</w:t>
      </w:r>
    </w:p>
    <w:p>
      <w:pPr>
        <w:spacing w:after="360"/>
        <w:jc w:val="center"/>
      </w:pPr>
      <w:r>
        <w:rPr>
          <w:i/>
          <w:iCs/>
          <w:color w:val="666666"/>
          <w:sz w:val="24"/>
          <w:szCs w:val="24"/>
        </w:rPr>
        <w:t xml:space="preserve">Close Management AI Market Positioning</w:t>
      </w:r>
    </w:p>
    <w:p>
      <w:pPr>
        <w:pStyle w:val="Heading2"/>
      </w:pPr>
      <w:r>
        <w:t xml:space="preserve">Market Landscape</w:t>
      </w:r>
    </w:p>
    <w:p>
      <w:pPr>
        <w:spacing w:after="200"/>
      </w:pPr>
      <w:r>
        <w:rPr>
          <w:b/>
          <w:bCs/>
        </w:rPr>
        <w:t xml:space="preserve">Direct competitors: </w:t>
      </w:r>
      <w:r>
        <w:t xml:space="preserve">Stacks.ai ($10M), Numeric ($51M Series B), Maximor ($9M) — all AI-native, mid-market focused.</w:t>
      </w:r>
    </w:p>
    <w:p>
      <w:pPr>
        <w:spacing w:after="280"/>
      </w:pPr>
      <w:r>
        <w:rPr>
          <w:b/>
          <w:bCs/>
        </w:rPr>
        <w:t xml:space="preserve">Aspirational: </w:t>
      </w:r>
      <w:r>
        <w:t xml:space="preserve">FloQast ($200M+ funding, mid-market leader) and BlackLine (public, enterprise focus) — both legacy platforms with AI retrofitted.</w:t>
      </w:r>
    </w:p>
    <w:p>
      <w:pPr>
        <w:spacing w:after="200"/>
      </w:pPr>
      <w:r>
        <w:rPr>
          <w:b/>
          <w:bCs/>
          <w:color w:val="C00000"/>
        </w:rPr>
        <w:t xml:space="preserve">Key Insight: </w:t>
      </w:r>
      <w:r>
        <w:rPr>
          <w:color w:val="C00000"/>
        </w:rPr>
        <w:t xml:space="preserve">Only Komplai offers conversational AI (Larry) for natural language queries. </w:t>
      </w:r>
      <w:r>
        <w:t xml:space="preserve">All competitors require dashboard navigation—representing a fundamental UX gap.</w:t>
      </w:r>
    </w:p>
    <w:p>
      <w:pPr>
        <w:pStyle w:val="Heading2"/>
        <w:spacing w:before="240"/>
      </w:pPr>
      <w:r>
        <w:t xml:space="preserve">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93"/>
        <w:gridCol w:w="1193"/>
        <w:gridCol w:w="1193"/>
        <w:gridCol w:w="1193"/>
        <w:gridCol w:w="1193"/>
        <w:gridCol w:w="119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Komplai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Stacks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Numeric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Maximor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FloQast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BlackLine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Conversational AI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Larry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Reconciliation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Partial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Close Checklist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Journal Entry Auto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Variance Analysis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Recurring Expense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Prepaid Amort/Defer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30m-2hr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~4 wks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4-6 wks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~2 wks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1.7 mo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~5 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Pricing (Annual)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$10-30K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7"/>
                <w:szCs w:val="17"/>
              </w:rPr>
              <w:t xml:space="preserve">Undiscl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$15-50K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$30K+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$9-50K</w:t>
            </w:r>
          </w:p>
        </w:tc>
        <w:tc>
          <w:tcPr>
            <w:tcW w:type="dxa" w:w="11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$77-340K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Competitive Dynamics</w:t>
      </w:r>
    </w:p>
    <w:p>
      <w:pPr>
        <w:spacing w:after="140"/>
      </w:pPr>
      <w:r>
        <w:rPr>
          <w:b/>
          <w:bCs/>
        </w:rPr>
        <w:t xml:space="preserve">What they do well: </w:t>
      </w:r>
      <w:r>
        <w:t xml:space="preserve">Strong funding (Numeric $51M, FloQast $200M+), validated case studies (3-5 day close reductions), strategic partnerships (Google Cloud), tier-1 logos.</w:t>
      </w:r>
    </w:p>
    <w:p>
      <w:pPr>
        <w:spacing w:after="220"/>
      </w:pPr>
      <w:r>
        <w:rPr>
          <w:b/>
          <w:bCs/>
        </w:rPr>
        <w:t xml:space="preserve">What they're missing: </w:t>
      </w:r>
      <w:r>
        <w:rPr>
          <w:color w:val="C00000"/>
        </w:rPr>
        <w:t xml:space="preserve">No conversational intelligence</w:t>
      </w:r>
      <w:r>
        <w:t xml:space="preserve">. FloQast and BlackLine have AI-retrofitted architectures (legacy rules-based cores). Numeric drifting into cash management. BlackLine abandoning mid-market. Long implementations (FloQast 1.7mo, BlackLine 5mo).</w:t>
      </w:r>
    </w:p>
    <w:p>
      <w:pPr>
        <w:pStyle w:val="Heading2"/>
      </w:pPr>
      <w:r>
        <w:t xml:space="preserve">Why Larry Matters</w:t>
      </w:r>
    </w:p>
    <w:p>
      <w:pPr>
        <w:spacing w:after="140"/>
      </w:pPr>
      <w:r>
        <w:rPr>
          <w:b/>
          <w:bCs/>
        </w:rPr>
        <w:t xml:space="preserve">Unique: </w:t>
      </w:r>
      <w:r>
        <w:t xml:space="preserve">Only conversational AI for close management. Controllers ask questions in natural language vs. navigating dashboards.</w:t>
      </w:r>
    </w:p>
    <w:p>
      <w:pPr>
        <w:spacing w:after="140"/>
      </w:pPr>
      <w:r>
        <w:rPr>
          <w:b/>
          <w:bCs/>
        </w:rPr>
        <w:t xml:space="preserve">UX advantage: </w:t>
      </w:r>
      <w:r>
        <w:t xml:space="preserve">Intent-based interaction vs. menu navigation. Reduces cognitive load during high-pressure close periods.</w:t>
      </w:r>
    </w:p>
    <w:p>
      <w:pPr>
        <w:spacing w:after="140"/>
      </w:pPr>
      <w:r>
        <w:rPr>
          <w:b/>
          <w:bCs/>
        </w:rPr>
        <w:t xml:space="preserve">9-12 month moat: </w:t>
      </w:r>
      <w:r>
        <w:t xml:space="preserve">Requires training data, domain expertise, tight integration, and product reorientation. Competitors focused on horizontal expansion vs. close intelligence depth.</w:t>
      </w:r>
    </w:p>
    <w:p>
      <w:pPr>
        <w:spacing w:after="140"/>
      </w:pPr>
      <w:r>
        <w:rPr>
          <w:b/>
          <w:bCs/>
        </w:rPr>
        <w:t xml:space="preserve">Addresses trust: </w:t>
      </w:r>
      <w:r>
        <w:t xml:space="preserve">Controllers can interrogate the system through conversation—builds confidence faster than black-box automation.</w:t>
      </w:r>
    </w:p>
    <w:p>
      <w:pPr>
        <w:spacing w:after="200"/>
      </w:pPr>
      <w:r>
        <w:rPr>
          <w:b/>
          <w:bCs/>
        </w:rPr>
        <w:t xml:space="preserve">Strategic bet: </w:t>
      </w:r>
      <w:r>
        <w:t xml:space="preserve">Larry improves with language model advances. Competitor workflow automation stays constrained to pre-defined rules. Architectural advantage compounds.</w:t>
      </w:r>
    </w:p>
    <w:p>
      <w:pPr>
        <w:spacing w:after="180"/>
      </w:pPr>
    </w:p>
    <w:p>
      <w:pPr>
        <w:pStyle w:val="Heading2"/>
      </w:pPr>
      <w:r>
        <w:t xml:space="preserve">Market Position</w:t>
      </w:r>
    </w:p>
    <w:p>
      <w:pPr>
        <w:spacing w:after="140"/>
      </w:pPr>
      <w:r>
        <w:rPr>
          <w:b/>
          <w:bCs/>
        </w:rPr>
        <w:t xml:space="preserve">AI-native competitors </w:t>
      </w:r>
      <w:r>
        <w:t xml:space="preserve">(Stacks, Numeric, Maximor): Feature parity on reconciliation and workflows. Larry creates differentiation.</w:t>
      </w:r>
    </w:p>
    <w:p>
      <w:pPr>
        <w:spacing w:after="140"/>
      </w:pPr>
      <w:r>
        <w:rPr>
          <w:b/>
          <w:bCs/>
        </w:rPr>
        <w:t xml:space="preserve">Legacy + AI </w:t>
      </w:r>
      <w:r>
        <w:t xml:space="preserve">(FloQast, BlackLine): Retrofitted AI on rules-based cores. Architectural disadvantage vs. AI-native platforms. BlackLine's mid-market exit creates opening.</w:t>
      </w:r>
    </w:p>
    <w:p>
      <w:pPr>
        <w:spacing w:after="200"/>
      </w:pPr>
      <w:r>
        <w:rPr>
          <w:b/>
          <w:bCs/>
        </w:rPr>
        <w:t xml:space="preserve">Komplai positioning: </w:t>
      </w:r>
      <w:r>
        <w:t xml:space="preserve">AI-native close intelligence with conversational interface. Instant implementation (30 minutes to 2 hours), Series A-C pricing ($10-30K), only platform where controllers can ask ‘Why did this variance occur?’</w:t>
      </w:r>
    </w:p>
    <w:p>
      <w:pPr>
        <w:pBdr>
          <w:top w:val="single" w:color="CCCCCC" w:sz="6"/>
        </w:pBdr>
        <w:spacing w:before="320"/>
      </w:pPr>
      <w:r>
        <w:rPr>
          <w:i/>
          <w:iCs/>
          <w:color w:val="666666"/>
          <w:sz w:val="18"/>
          <w:szCs w:val="18"/>
        </w:rPr>
        <w:t xml:space="preserve">Komplai competitive intelligence |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2026-02-12T11:03:01.833Z</dcterms:created>
  <dcterms:modified xsi:type="dcterms:W3CDTF">2026-02-12T11:03:01.840Z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