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Kant Conversation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Right-to-left all numbers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we show details on the insights when the mouse hovers on top of that?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recurring expenses can be renegotiated across 5 key vendors; on hover can I see who those 5 vendors are or what payment terms should be negotiated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0" w:before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Clicking and starting a chat is good; but a snap shot would be a small delight factor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Flip invoice number and vendor name? 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Put invoice number below the vendor name.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Larry (in sources):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Vendor, Date, Payment Status, Total, Tax, Gross, Net ()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with Gross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Inter-entity Consolidation: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Convert on the reference rate (from the date of balance sheet or P&amp;L statement)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Transaction level conversion happens in capital transactions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M&amp;A and Sales of assets. 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Foreign transaction - allow uploads of FIRC &amp; KYC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Enable the upload at the team’s pace;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an audit perspective, this would be really helpful to have underlying data all in one place.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becomes even more important when we target manufacturing, imports, exports. 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Split for book closure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Variance, flux, commentary/insights or action items for the CFO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Insights specifically for the board or the audit committee meeting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Consistency is key for the variance analysis 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before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method to gauge whether book closure has been done right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before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P&amp;L, Balance Sheet, Cash, Total Expenses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Insights for everyone else through the Larry chat.  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Confidence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Need the ability to zero-in on everything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