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FE2" w14:textId="6737A347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>Packet Tracer – Troubleshooting Challenge</w:t>
          </w:r>
        </w:sdtContent>
      </w:sdt>
      <w:r w:rsidR="004D36D7" w:rsidRPr="00FD4A68">
        <w:t xml:space="preserve"> </w:t>
      </w:r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lastRenderedPageBreak/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acad</w:t>
            </w:r>
            <w:r w:rsidRPr="001B0585">
              <w:t>::</w:t>
            </w:r>
            <w:proofErr w:type="gramEnd"/>
            <w:r w:rsidRPr="001B0585">
              <w:t>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03E697A6" w14:textId="0D0D1F16" w:rsidR="0038406B" w:rsidRDefault="0038406B" w:rsidP="0038406B">
      <w:pPr>
        <w:pStyle w:val="ConfigWindow"/>
      </w:pPr>
      <w:r>
        <w:t>End of document</w:t>
      </w:r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B74D" w14:textId="77777777" w:rsidR="00B55A7B" w:rsidRDefault="00B55A7B" w:rsidP="00710659">
      <w:pPr>
        <w:spacing w:after="0" w:line="240" w:lineRule="auto"/>
      </w:pPr>
      <w:r>
        <w:separator/>
      </w:r>
    </w:p>
    <w:p w14:paraId="1A0CC2CB" w14:textId="77777777" w:rsidR="00B55A7B" w:rsidRDefault="00B55A7B"/>
  </w:endnote>
  <w:endnote w:type="continuationSeparator" w:id="0">
    <w:p w14:paraId="7CC05B13" w14:textId="77777777" w:rsidR="00B55A7B" w:rsidRDefault="00B55A7B" w:rsidP="00710659">
      <w:pPr>
        <w:spacing w:after="0" w:line="240" w:lineRule="auto"/>
      </w:pPr>
      <w:r>
        <w:continuationSeparator/>
      </w:r>
    </w:p>
    <w:p w14:paraId="7A72E9E6" w14:textId="77777777" w:rsidR="00B55A7B" w:rsidRDefault="00B55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AE01" w14:textId="19C6D2A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D331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5DF" w14:textId="15B7BA5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D331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DA62" w14:textId="77777777" w:rsidR="00B55A7B" w:rsidRDefault="00B55A7B" w:rsidP="00710659">
      <w:pPr>
        <w:spacing w:after="0" w:line="240" w:lineRule="auto"/>
      </w:pPr>
      <w:r>
        <w:separator/>
      </w:r>
    </w:p>
    <w:p w14:paraId="1B7ED5BE" w14:textId="77777777" w:rsidR="00B55A7B" w:rsidRDefault="00B55A7B"/>
  </w:footnote>
  <w:footnote w:type="continuationSeparator" w:id="0">
    <w:p w14:paraId="3D9814F6" w14:textId="77777777" w:rsidR="00B55A7B" w:rsidRDefault="00B55A7B" w:rsidP="00710659">
      <w:pPr>
        <w:spacing w:after="0" w:line="240" w:lineRule="auto"/>
      </w:pPr>
      <w:r>
        <w:continuationSeparator/>
      </w:r>
    </w:p>
    <w:p w14:paraId="0E68F7EA" w14:textId="77777777" w:rsidR="00B55A7B" w:rsidRDefault="00B55A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4EC0F1" w14:textId="77777777" w:rsidR="00926CB2" w:rsidRDefault="001A64E1" w:rsidP="008402F2">
        <w:pPr>
          <w:pStyle w:val="PageHead"/>
        </w:pPr>
        <w:r>
          <w:t>Packet Tracer –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72102851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1683119077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57554203">
    <w:abstractNumId w:val="3"/>
  </w:num>
  <w:num w:numId="4" w16cid:durableId="148523856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86836353">
    <w:abstractNumId w:val="5"/>
  </w:num>
  <w:num w:numId="6" w16cid:durableId="1973635967">
    <w:abstractNumId w:val="0"/>
  </w:num>
  <w:num w:numId="7" w16cid:durableId="1892962109">
    <w:abstractNumId w:val="1"/>
  </w:num>
  <w:num w:numId="8" w16cid:durableId="2027554074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32083352">
    <w:abstractNumId w:val="5"/>
    <w:lvlOverride w:ilvl="0"/>
  </w:num>
  <w:num w:numId="10" w16cid:durableId="1679579271">
    <w:abstractNumId w:val="2"/>
  </w:num>
  <w:num w:numId="11" w16cid:durableId="512764137">
    <w:abstractNumId w:val="4"/>
  </w:num>
  <w:num w:numId="12" w16cid:durableId="16081945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3313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5A7B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67EB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FD5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400745"/>
    <w:rsid w:val="0074177A"/>
    <w:rsid w:val="00835929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F1468-57D4-49F0-B693-4A366F76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Troubleshooting Challenge</dc:title>
  <dc:creator>Martin Benson</dc:creator>
  <dc:description>2019</dc:description>
  <cp:lastModifiedBy>Aruzhan T. Kakharmanova</cp:lastModifiedBy>
  <cp:revision>2</cp:revision>
  <dcterms:created xsi:type="dcterms:W3CDTF">2023-04-04T09:01:00Z</dcterms:created>
  <dcterms:modified xsi:type="dcterms:W3CDTF">2023-04-04T09:01:00Z</dcterms:modified>
</cp:coreProperties>
</file>